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6E4D" w14:textId="77777777" w:rsidR="00CC1504" w:rsidRPr="00C020ED" w:rsidRDefault="00C43EB5"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Helvetica" w:eastAsia="Helvetica" w:hAnsi="Helvetica" w:cs="Helvetica"/>
          <w:color w:val="000000" w:themeColor="text1"/>
          <w:sz w:val="24"/>
          <w:szCs w:val="24"/>
        </w:rPr>
      </w:pPr>
      <w:bookmarkStart w:id="0" w:name="_Hlk527474970"/>
      <w:r w:rsidRPr="00C020ED">
        <w:rPr>
          <w:rStyle w:val="NoneA"/>
          <w:rFonts w:ascii="Helvetica" w:eastAsia="Helvetica" w:hAnsi="Helvetica" w:cs="Helvetica"/>
          <w:noProof/>
          <w:color w:val="000000" w:themeColor="text1"/>
          <w:sz w:val="24"/>
          <w:szCs w:val="24"/>
        </w:rPr>
        <w:drawing>
          <wp:inline distT="0" distB="0" distL="0" distR="0" wp14:anchorId="7EE6A216" wp14:editId="70E530AF">
            <wp:extent cx="1968016" cy="6088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968016" cy="608810"/>
                    </a:xfrm>
                    <a:prstGeom prst="rect">
                      <a:avLst/>
                    </a:prstGeom>
                    <a:ln w="12700" cap="flat">
                      <a:noFill/>
                      <a:miter lim="400000"/>
                    </a:ln>
                    <a:effectLst/>
                  </pic:spPr>
                </pic:pic>
              </a:graphicData>
            </a:graphic>
          </wp:inline>
        </w:drawing>
      </w:r>
    </w:p>
    <w:p w14:paraId="57A16AE5" w14:textId="77777777" w:rsidR="00CC1504" w:rsidRPr="00C020ED" w:rsidRDefault="00C43EB5"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Style w:val="NoneA"/>
          <w:b/>
          <w:bCs/>
          <w:color w:val="000000" w:themeColor="text1"/>
          <w:sz w:val="28"/>
          <w:szCs w:val="28"/>
        </w:rPr>
      </w:pPr>
      <w:r w:rsidRPr="00C020ED">
        <w:rPr>
          <w:rStyle w:val="NoneA"/>
          <w:rFonts w:ascii="Helvetica" w:eastAsia="Helvetica" w:hAnsi="Helvetica" w:cs="Helvetica"/>
          <w:color w:val="000000" w:themeColor="text1"/>
          <w:sz w:val="24"/>
          <w:szCs w:val="24"/>
        </w:rPr>
        <w:tab/>
      </w:r>
      <w:r w:rsidRPr="00C020ED">
        <w:rPr>
          <w:rStyle w:val="NoneA"/>
          <w:rFonts w:ascii="Helvetica" w:eastAsia="Helvetica" w:hAnsi="Helvetica" w:cs="Helvetica"/>
          <w:color w:val="000000" w:themeColor="text1"/>
          <w:sz w:val="24"/>
          <w:szCs w:val="24"/>
        </w:rPr>
        <w:tab/>
      </w:r>
      <w:r w:rsidRPr="00C020ED">
        <w:rPr>
          <w:rStyle w:val="NoneA"/>
          <w:rFonts w:ascii="Helvetica" w:eastAsia="Helvetica" w:hAnsi="Helvetica" w:cs="Helvetica"/>
          <w:color w:val="000000" w:themeColor="text1"/>
          <w:sz w:val="24"/>
          <w:szCs w:val="24"/>
        </w:rPr>
        <w:tab/>
      </w:r>
    </w:p>
    <w:p w14:paraId="668EB4BF" w14:textId="77777777" w:rsidR="00CC1504" w:rsidRPr="00C020ED" w:rsidRDefault="00CC1504"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0BB8F043" w14:textId="77777777" w:rsidR="00CC1504" w:rsidRPr="00C020ED" w:rsidRDefault="00C43EB5"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color w:val="000000" w:themeColor="text1"/>
        </w:rPr>
      </w:pPr>
      <w:r w:rsidRPr="00C020ED">
        <w:rPr>
          <w:rStyle w:val="NoneA"/>
          <w:color w:val="000000" w:themeColor="text1"/>
        </w:rPr>
        <w:t>Media Contact:</w:t>
      </w:r>
    </w:p>
    <w:p w14:paraId="50E5EAE5" w14:textId="77777777" w:rsidR="00CC1504" w:rsidRPr="00C020ED" w:rsidRDefault="00514D87"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hyperlink r:id="rId9" w:history="1">
        <w:r w:rsidR="00B251D1" w:rsidRPr="00C020ED">
          <w:rPr>
            <w:rStyle w:val="Hyperlink"/>
            <w:color w:val="000000" w:themeColor="text1"/>
          </w:rPr>
          <w:t>media@setpointmedical</w:t>
        </w:r>
        <w:r w:rsidR="00B251D1" w:rsidRPr="00C020ED">
          <w:rPr>
            <w:rStyle w:val="Hyperlink"/>
            <w:noProof/>
            <w:color w:val="000000" w:themeColor="text1"/>
          </w:rPr>
          <w:t>.com</w:t>
        </w:r>
      </w:hyperlink>
      <w:r w:rsidR="00B251D1" w:rsidRPr="00C020ED">
        <w:rPr>
          <w:noProof/>
          <w:color w:val="000000" w:themeColor="text1"/>
        </w:rPr>
        <w:t xml:space="preserve"> </w:t>
      </w:r>
    </w:p>
    <w:p w14:paraId="1F7121A5" w14:textId="77777777" w:rsidR="00CC1504" w:rsidRPr="00C020ED" w:rsidRDefault="00CC1504"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b/>
          <w:bCs/>
          <w:color w:val="000000" w:themeColor="text1"/>
          <w:sz w:val="28"/>
          <w:szCs w:val="28"/>
          <w:u w:color="FF0000"/>
        </w:rPr>
      </w:pPr>
    </w:p>
    <w:p w14:paraId="5224713C" w14:textId="77777777" w:rsidR="00CC1504" w:rsidRPr="00C020ED" w:rsidRDefault="00CC1504"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sz w:val="28"/>
          <w:szCs w:val="28"/>
        </w:rPr>
      </w:pPr>
    </w:p>
    <w:p w14:paraId="5B18F0C6" w14:textId="453EEAAA" w:rsidR="00CC1504" w:rsidRPr="00C020ED" w:rsidRDefault="00C43EB5" w:rsidP="003E0E71">
      <w:pPr>
        <w:pStyle w:val="BodyC"/>
        <w:jc w:val="center"/>
        <w:rPr>
          <w:rStyle w:val="NoneA"/>
          <w:rFonts w:ascii="Calibri" w:eastAsia="Calibri" w:hAnsi="Calibri" w:cs="Calibri"/>
          <w:b/>
          <w:bCs/>
          <w:color w:val="000000" w:themeColor="text1"/>
          <w:sz w:val="28"/>
          <w:szCs w:val="28"/>
        </w:rPr>
      </w:pPr>
      <w:r w:rsidRPr="00C020ED">
        <w:rPr>
          <w:rStyle w:val="NoneA"/>
          <w:rFonts w:ascii="Calibri" w:eastAsia="Calibri" w:hAnsi="Calibri" w:cs="Calibri"/>
          <w:b/>
          <w:bCs/>
          <w:color w:val="000000" w:themeColor="text1"/>
          <w:sz w:val="28"/>
          <w:szCs w:val="28"/>
        </w:rPr>
        <w:t xml:space="preserve">SetPoint Medical </w:t>
      </w:r>
      <w:r w:rsidR="00D616C2" w:rsidRPr="00C020ED">
        <w:rPr>
          <w:rStyle w:val="NoneA"/>
          <w:rFonts w:ascii="Calibri" w:eastAsia="Calibri" w:hAnsi="Calibri" w:cs="Calibri"/>
          <w:b/>
          <w:bCs/>
          <w:color w:val="000000" w:themeColor="text1"/>
          <w:sz w:val="28"/>
          <w:szCs w:val="28"/>
        </w:rPr>
        <w:t xml:space="preserve">Announces </w:t>
      </w:r>
      <w:r w:rsidR="004634B4" w:rsidRPr="00C020ED">
        <w:rPr>
          <w:rStyle w:val="NoneA"/>
          <w:rFonts w:ascii="Calibri" w:eastAsia="Calibri" w:hAnsi="Calibri" w:cs="Calibri"/>
          <w:b/>
          <w:bCs/>
          <w:color w:val="000000" w:themeColor="text1"/>
          <w:sz w:val="28"/>
          <w:szCs w:val="28"/>
        </w:rPr>
        <w:t xml:space="preserve">Data </w:t>
      </w:r>
      <w:r w:rsidR="002660F8" w:rsidRPr="00C020ED">
        <w:rPr>
          <w:rStyle w:val="NoneA"/>
          <w:rFonts w:ascii="Calibri" w:eastAsia="Calibri" w:hAnsi="Calibri" w:cs="Calibri"/>
          <w:b/>
          <w:bCs/>
          <w:color w:val="000000" w:themeColor="text1"/>
          <w:sz w:val="28"/>
          <w:szCs w:val="28"/>
        </w:rPr>
        <w:t>Supporting Continued Clinical Development of its</w:t>
      </w:r>
      <w:r w:rsidR="00A32B82" w:rsidRPr="00C020ED">
        <w:rPr>
          <w:rStyle w:val="NoneA"/>
          <w:rFonts w:ascii="Calibri" w:eastAsia="Calibri" w:hAnsi="Calibri" w:cs="Calibri"/>
          <w:b/>
          <w:bCs/>
          <w:color w:val="000000" w:themeColor="text1"/>
          <w:sz w:val="28"/>
          <w:szCs w:val="28"/>
        </w:rPr>
        <w:t xml:space="preserve"> </w:t>
      </w:r>
      <w:r w:rsidR="002A0A34" w:rsidRPr="00C020ED">
        <w:rPr>
          <w:rStyle w:val="NoneA"/>
          <w:rFonts w:ascii="Calibri" w:eastAsia="Calibri" w:hAnsi="Calibri" w:cs="Calibri"/>
          <w:b/>
          <w:bCs/>
          <w:color w:val="000000" w:themeColor="text1"/>
          <w:sz w:val="28"/>
          <w:szCs w:val="28"/>
        </w:rPr>
        <w:t>Bioelectr</w:t>
      </w:r>
      <w:r w:rsidR="005C2728" w:rsidRPr="00C020ED">
        <w:rPr>
          <w:rStyle w:val="NoneA"/>
          <w:rFonts w:ascii="Calibri" w:eastAsia="Calibri" w:hAnsi="Calibri" w:cs="Calibri"/>
          <w:b/>
          <w:bCs/>
          <w:color w:val="000000" w:themeColor="text1"/>
          <w:sz w:val="28"/>
          <w:szCs w:val="28"/>
        </w:rPr>
        <w:t>on</w:t>
      </w:r>
      <w:r w:rsidR="002A0A34" w:rsidRPr="00C020ED">
        <w:rPr>
          <w:rStyle w:val="NoneA"/>
          <w:rFonts w:ascii="Calibri" w:eastAsia="Calibri" w:hAnsi="Calibri" w:cs="Calibri"/>
          <w:b/>
          <w:bCs/>
          <w:color w:val="000000" w:themeColor="text1"/>
          <w:sz w:val="28"/>
          <w:szCs w:val="28"/>
        </w:rPr>
        <w:t xml:space="preserve">ic </w:t>
      </w:r>
      <w:r w:rsidR="00480744" w:rsidRPr="00C020ED">
        <w:rPr>
          <w:rStyle w:val="NoneA"/>
          <w:rFonts w:ascii="Calibri" w:eastAsia="Calibri" w:hAnsi="Calibri" w:cs="Calibri"/>
          <w:b/>
          <w:bCs/>
          <w:color w:val="000000" w:themeColor="text1"/>
          <w:sz w:val="28"/>
          <w:szCs w:val="28"/>
        </w:rPr>
        <w:t>Device</w:t>
      </w:r>
      <w:r w:rsidR="009512D2" w:rsidRPr="00C020ED">
        <w:rPr>
          <w:rStyle w:val="NoneA"/>
          <w:rFonts w:ascii="Calibri" w:eastAsia="Calibri" w:hAnsi="Calibri" w:cs="Calibri"/>
          <w:b/>
          <w:bCs/>
          <w:color w:val="000000" w:themeColor="text1"/>
          <w:sz w:val="28"/>
          <w:szCs w:val="28"/>
        </w:rPr>
        <w:t xml:space="preserve"> </w:t>
      </w:r>
      <w:r w:rsidR="002660F8" w:rsidRPr="00C020ED">
        <w:rPr>
          <w:rStyle w:val="NoneA"/>
          <w:rFonts w:ascii="Calibri" w:eastAsia="Calibri" w:hAnsi="Calibri" w:cs="Calibri"/>
          <w:b/>
          <w:bCs/>
          <w:color w:val="000000" w:themeColor="text1"/>
          <w:sz w:val="28"/>
          <w:szCs w:val="28"/>
        </w:rPr>
        <w:t>for</w:t>
      </w:r>
      <w:r w:rsidR="006C7798" w:rsidRPr="00C020ED">
        <w:rPr>
          <w:rStyle w:val="NoneA"/>
          <w:rFonts w:ascii="Calibri" w:eastAsia="Calibri" w:hAnsi="Calibri" w:cs="Calibri"/>
          <w:b/>
          <w:bCs/>
          <w:color w:val="000000" w:themeColor="text1"/>
          <w:sz w:val="28"/>
          <w:szCs w:val="28"/>
        </w:rPr>
        <w:t xml:space="preserve"> </w:t>
      </w:r>
      <w:r w:rsidR="002660F8" w:rsidRPr="00C020ED">
        <w:rPr>
          <w:rStyle w:val="NoneA"/>
          <w:rFonts w:ascii="Calibri" w:eastAsia="Calibri" w:hAnsi="Calibri" w:cs="Calibri"/>
          <w:b/>
          <w:bCs/>
          <w:color w:val="000000" w:themeColor="text1"/>
          <w:sz w:val="28"/>
          <w:szCs w:val="28"/>
        </w:rPr>
        <w:t>Treatment of</w:t>
      </w:r>
      <w:r w:rsidR="006C7798" w:rsidRPr="00C020ED">
        <w:rPr>
          <w:rStyle w:val="NoneA"/>
          <w:rFonts w:ascii="Calibri" w:eastAsia="Calibri" w:hAnsi="Calibri" w:cs="Calibri"/>
          <w:b/>
          <w:bCs/>
          <w:color w:val="000000" w:themeColor="text1"/>
          <w:sz w:val="28"/>
          <w:szCs w:val="28"/>
        </w:rPr>
        <w:t xml:space="preserve"> Rheumatoid Arthritis </w:t>
      </w:r>
      <w:r w:rsidR="009512D2" w:rsidRPr="00C020ED">
        <w:rPr>
          <w:rStyle w:val="NoneA"/>
          <w:rFonts w:ascii="Calibri" w:eastAsia="Calibri" w:hAnsi="Calibri" w:cs="Calibri"/>
          <w:b/>
          <w:bCs/>
          <w:color w:val="000000" w:themeColor="text1"/>
          <w:sz w:val="28"/>
          <w:szCs w:val="28"/>
        </w:rPr>
        <w:t xml:space="preserve">(RA) </w:t>
      </w:r>
    </w:p>
    <w:p w14:paraId="66D9BDEF" w14:textId="77777777" w:rsidR="00A25B47" w:rsidRPr="00C020ED" w:rsidRDefault="00A25B47" w:rsidP="001938A7">
      <w:pPr>
        <w:pStyle w:val="Body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A"/>
          <w:i/>
          <w:iCs/>
          <w:color w:val="000000" w:themeColor="text1"/>
          <w:sz w:val="24"/>
          <w:szCs w:val="24"/>
        </w:rPr>
      </w:pPr>
    </w:p>
    <w:p w14:paraId="67DC762B" w14:textId="40D5B09A" w:rsidR="002660F8" w:rsidRPr="00C020ED" w:rsidRDefault="002660F8" w:rsidP="00A25B47">
      <w:pPr>
        <w:pStyle w:val="BodyA"/>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A"/>
          <w:i/>
          <w:iCs/>
          <w:color w:val="000000" w:themeColor="text1"/>
          <w:sz w:val="24"/>
          <w:szCs w:val="24"/>
          <w:highlight w:val="yellow"/>
        </w:rPr>
      </w:pPr>
      <w:r w:rsidRPr="00C020ED">
        <w:rPr>
          <w:rStyle w:val="NoneA"/>
          <w:i/>
          <w:iCs/>
          <w:color w:val="000000" w:themeColor="text1"/>
          <w:sz w:val="24"/>
          <w:szCs w:val="24"/>
        </w:rPr>
        <w:t>Successful proof-of-concept study demonstrates positive long-term 24-month safety and efficacy data</w:t>
      </w:r>
    </w:p>
    <w:p w14:paraId="15F23FEB" w14:textId="098AD600" w:rsidR="002660F8" w:rsidRPr="00C020ED" w:rsidRDefault="002660F8" w:rsidP="00A25B47">
      <w:pPr>
        <w:pStyle w:val="BodyA"/>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A"/>
          <w:i/>
          <w:iCs/>
          <w:color w:val="000000" w:themeColor="text1"/>
          <w:sz w:val="24"/>
          <w:szCs w:val="24"/>
        </w:rPr>
      </w:pPr>
    </w:p>
    <w:p w14:paraId="7819DCDC" w14:textId="2FEC28C1" w:rsidR="002660F8" w:rsidRPr="00C020ED" w:rsidRDefault="002660F8" w:rsidP="002660F8">
      <w:pPr>
        <w:pStyle w:val="BodyA"/>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A"/>
          <w:i/>
          <w:iCs/>
          <w:color w:val="000000" w:themeColor="text1"/>
          <w:sz w:val="24"/>
          <w:szCs w:val="24"/>
        </w:rPr>
      </w:pPr>
      <w:r w:rsidRPr="00C020ED">
        <w:rPr>
          <w:rStyle w:val="NoneA"/>
          <w:i/>
          <w:iCs/>
          <w:color w:val="000000" w:themeColor="text1"/>
          <w:sz w:val="24"/>
          <w:szCs w:val="24"/>
        </w:rPr>
        <w:t xml:space="preserve">Results to be Presented in Two Poster Presentations Today during the American College of Rheumatology (ACR) </w:t>
      </w:r>
      <w:r w:rsidR="00342CF0" w:rsidRPr="00C020ED">
        <w:rPr>
          <w:rStyle w:val="NoneA"/>
          <w:i/>
          <w:iCs/>
          <w:color w:val="000000" w:themeColor="text1"/>
          <w:sz w:val="24"/>
          <w:szCs w:val="24"/>
        </w:rPr>
        <w:t xml:space="preserve">/ Association of Rheumatology Health Professionals (ARHP) </w:t>
      </w:r>
      <w:r w:rsidRPr="00C020ED">
        <w:rPr>
          <w:rStyle w:val="NoneA"/>
          <w:i/>
          <w:iCs/>
          <w:color w:val="000000" w:themeColor="text1"/>
          <w:sz w:val="24"/>
          <w:szCs w:val="24"/>
        </w:rPr>
        <w:t>Annual Meeting</w:t>
      </w:r>
    </w:p>
    <w:p w14:paraId="3CECCBA2" w14:textId="77777777" w:rsidR="00A25B47" w:rsidRPr="00C020ED" w:rsidRDefault="00A25B47" w:rsidP="001938A7">
      <w:pPr>
        <w:pStyle w:val="Body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A"/>
          <w:i/>
          <w:iCs/>
          <w:color w:val="000000" w:themeColor="text1"/>
          <w:sz w:val="24"/>
          <w:szCs w:val="24"/>
        </w:rPr>
      </w:pPr>
    </w:p>
    <w:p w14:paraId="314ABB4C" w14:textId="2658BEFF" w:rsidR="00C97C55" w:rsidRPr="00C020ED" w:rsidRDefault="00C43EB5" w:rsidP="00800812">
      <w:pPr>
        <w:pStyle w:val="Heading3"/>
        <w:jc w:val="both"/>
        <w:rPr>
          <w:rStyle w:val="NoneA"/>
          <w:rFonts w:ascii="Calibri" w:eastAsia="Calibri" w:hAnsi="Calibri" w:cs="Calibri"/>
          <w:color w:val="000000" w:themeColor="text1"/>
          <w:sz w:val="22"/>
          <w:szCs w:val="22"/>
        </w:rPr>
      </w:pPr>
      <w:r w:rsidRPr="00C020ED">
        <w:rPr>
          <w:rStyle w:val="NoneA"/>
          <w:rFonts w:ascii="Calibri" w:eastAsia="Calibri" w:hAnsi="Calibri" w:cs="Calibri"/>
          <w:b/>
          <w:color w:val="000000" w:themeColor="text1"/>
          <w:sz w:val="22"/>
          <w:szCs w:val="22"/>
        </w:rPr>
        <w:t xml:space="preserve">Valencia, CA – </w:t>
      </w:r>
      <w:r w:rsidR="008A3B0C" w:rsidRPr="00C020ED">
        <w:rPr>
          <w:rStyle w:val="NoneA"/>
          <w:rFonts w:ascii="Calibri" w:eastAsia="Calibri" w:hAnsi="Calibri" w:cs="Calibri"/>
          <w:b/>
          <w:color w:val="000000" w:themeColor="text1"/>
          <w:sz w:val="22"/>
          <w:szCs w:val="22"/>
        </w:rPr>
        <w:t xml:space="preserve">October </w:t>
      </w:r>
      <w:r w:rsidR="0034131B" w:rsidRPr="00C020ED">
        <w:rPr>
          <w:rStyle w:val="NoneA"/>
          <w:rFonts w:ascii="Calibri" w:eastAsia="Calibri" w:hAnsi="Calibri" w:cs="Calibri"/>
          <w:b/>
          <w:color w:val="000000" w:themeColor="text1"/>
          <w:sz w:val="22"/>
          <w:szCs w:val="22"/>
        </w:rPr>
        <w:t>2</w:t>
      </w:r>
      <w:r w:rsidR="004634B4" w:rsidRPr="00C020ED">
        <w:rPr>
          <w:rStyle w:val="NoneA"/>
          <w:rFonts w:ascii="Calibri" w:eastAsia="Calibri" w:hAnsi="Calibri" w:cs="Calibri"/>
          <w:b/>
          <w:color w:val="000000" w:themeColor="text1"/>
          <w:sz w:val="22"/>
          <w:szCs w:val="22"/>
        </w:rPr>
        <w:t>3</w:t>
      </w:r>
      <w:r w:rsidRPr="00C020ED">
        <w:rPr>
          <w:rStyle w:val="NoneA"/>
          <w:rFonts w:ascii="Calibri" w:eastAsia="Calibri" w:hAnsi="Calibri" w:cs="Calibri"/>
          <w:b/>
          <w:color w:val="000000" w:themeColor="text1"/>
          <w:sz w:val="22"/>
          <w:szCs w:val="22"/>
        </w:rPr>
        <w:t>, 2018</w:t>
      </w:r>
      <w:r w:rsidRPr="00C020ED">
        <w:rPr>
          <w:rStyle w:val="NoneA"/>
          <w:rFonts w:ascii="Calibri" w:eastAsia="Calibri" w:hAnsi="Calibri" w:cs="Calibri"/>
          <w:color w:val="000000" w:themeColor="text1"/>
          <w:sz w:val="22"/>
          <w:szCs w:val="22"/>
        </w:rPr>
        <w:t xml:space="preserve"> </w:t>
      </w:r>
      <w:r w:rsidRPr="00C020ED">
        <w:rPr>
          <w:rStyle w:val="NoneA"/>
          <w:rFonts w:ascii="Calibri" w:eastAsia="Calibri" w:hAnsi="Calibri" w:cs="Calibri"/>
          <w:b/>
          <w:color w:val="000000" w:themeColor="text1"/>
          <w:sz w:val="22"/>
          <w:szCs w:val="22"/>
        </w:rPr>
        <w:t>–</w:t>
      </w:r>
      <w:r w:rsidRPr="00C020ED">
        <w:rPr>
          <w:rStyle w:val="NoneA"/>
          <w:rFonts w:ascii="Calibri" w:eastAsia="Calibri" w:hAnsi="Calibri" w:cs="Calibri"/>
          <w:color w:val="000000" w:themeColor="text1"/>
          <w:sz w:val="22"/>
          <w:szCs w:val="22"/>
        </w:rPr>
        <w:t xml:space="preserve"> </w:t>
      </w:r>
      <w:r w:rsidR="00D66484" w:rsidRPr="00C020ED">
        <w:rPr>
          <w:rStyle w:val="Hyperlink0"/>
          <w:rFonts w:eastAsia="Arial Unicode MS" w:cs="Arial Unicode MS"/>
          <w:color w:val="000000" w:themeColor="text1"/>
          <w:u w:val="none"/>
        </w:rPr>
        <w:t>SetPoint Medical</w:t>
      </w:r>
      <w:r w:rsidRPr="00C020ED">
        <w:rPr>
          <w:rStyle w:val="NoneA"/>
          <w:rFonts w:ascii="Calibri" w:eastAsia="Calibri" w:hAnsi="Calibri" w:cs="Calibri"/>
          <w:color w:val="000000" w:themeColor="text1"/>
          <w:sz w:val="22"/>
          <w:szCs w:val="22"/>
        </w:rPr>
        <w:t xml:space="preserve">, a clinical-stage </w:t>
      </w:r>
      <w:r w:rsidR="00723E8A" w:rsidRPr="00C020ED">
        <w:rPr>
          <w:rStyle w:val="NoneA"/>
          <w:rFonts w:ascii="Calibri" w:eastAsia="Calibri" w:hAnsi="Calibri" w:cs="Calibri"/>
          <w:color w:val="000000" w:themeColor="text1"/>
          <w:sz w:val="22"/>
          <w:szCs w:val="22"/>
        </w:rPr>
        <w:t xml:space="preserve">bioelectronic medicine </w:t>
      </w:r>
      <w:r w:rsidRPr="00C020ED">
        <w:rPr>
          <w:rStyle w:val="NoneA"/>
          <w:rFonts w:ascii="Calibri" w:eastAsia="Calibri" w:hAnsi="Calibri" w:cs="Calibri"/>
          <w:color w:val="000000" w:themeColor="text1"/>
          <w:sz w:val="22"/>
          <w:szCs w:val="22"/>
        </w:rPr>
        <w:t xml:space="preserve">company developing therapy for chronic </w:t>
      </w:r>
      <w:r w:rsidR="002E7502" w:rsidRPr="00C020ED">
        <w:rPr>
          <w:rStyle w:val="NoneA"/>
          <w:rFonts w:ascii="Calibri" w:eastAsia="Calibri" w:hAnsi="Calibri" w:cs="Calibri"/>
          <w:color w:val="000000" w:themeColor="text1"/>
          <w:sz w:val="22"/>
          <w:szCs w:val="22"/>
        </w:rPr>
        <w:t xml:space="preserve">autoimmune </w:t>
      </w:r>
      <w:r w:rsidRPr="00C020ED">
        <w:rPr>
          <w:rStyle w:val="NoneA"/>
          <w:rFonts w:ascii="Calibri" w:eastAsia="Calibri" w:hAnsi="Calibri" w:cs="Calibri"/>
          <w:color w:val="000000" w:themeColor="text1"/>
          <w:sz w:val="22"/>
          <w:szCs w:val="22"/>
        </w:rPr>
        <w:t xml:space="preserve">diseases, </w:t>
      </w:r>
      <w:r w:rsidR="008C4542" w:rsidRPr="00C020ED">
        <w:rPr>
          <w:rStyle w:val="NoneA"/>
          <w:rFonts w:ascii="Calibri" w:eastAsia="Calibri" w:hAnsi="Calibri" w:cs="Calibri"/>
          <w:color w:val="000000" w:themeColor="text1"/>
          <w:sz w:val="22"/>
          <w:szCs w:val="22"/>
        </w:rPr>
        <w:t xml:space="preserve">today </w:t>
      </w:r>
      <w:r w:rsidRPr="00C020ED">
        <w:rPr>
          <w:rStyle w:val="NoneA"/>
          <w:rFonts w:ascii="Calibri" w:eastAsia="Calibri" w:hAnsi="Calibri" w:cs="Calibri"/>
          <w:color w:val="000000" w:themeColor="text1"/>
          <w:sz w:val="22"/>
          <w:szCs w:val="22"/>
        </w:rPr>
        <w:t>announced</w:t>
      </w:r>
      <w:r w:rsidR="00C97C55" w:rsidRPr="00C020ED">
        <w:rPr>
          <w:rStyle w:val="NoneA"/>
          <w:rFonts w:ascii="Calibri" w:eastAsia="Calibri" w:hAnsi="Calibri" w:cs="Calibri"/>
          <w:color w:val="000000" w:themeColor="text1"/>
          <w:sz w:val="22"/>
          <w:szCs w:val="22"/>
        </w:rPr>
        <w:t xml:space="preserve"> long-term</w:t>
      </w:r>
      <w:r w:rsidR="00F3212D" w:rsidRPr="00C020ED">
        <w:rPr>
          <w:rStyle w:val="NoneA"/>
          <w:rFonts w:ascii="Calibri" w:eastAsia="Calibri" w:hAnsi="Calibri" w:cs="Calibri"/>
          <w:color w:val="000000" w:themeColor="text1"/>
          <w:sz w:val="22"/>
          <w:szCs w:val="22"/>
        </w:rPr>
        <w:t>, 24-month</w:t>
      </w:r>
      <w:r w:rsidR="00C97C55" w:rsidRPr="00C020ED">
        <w:rPr>
          <w:rStyle w:val="NoneA"/>
          <w:rFonts w:ascii="Calibri" w:eastAsia="Calibri" w:hAnsi="Calibri" w:cs="Calibri"/>
          <w:color w:val="000000" w:themeColor="text1"/>
          <w:sz w:val="22"/>
          <w:szCs w:val="22"/>
        </w:rPr>
        <w:t xml:space="preserve"> follow up</w:t>
      </w:r>
      <w:r w:rsidR="004634B4" w:rsidRPr="00C020ED">
        <w:rPr>
          <w:rStyle w:val="NoneA"/>
          <w:rFonts w:ascii="Calibri" w:eastAsia="Calibri" w:hAnsi="Calibri" w:cs="Calibri"/>
          <w:color w:val="000000" w:themeColor="text1"/>
          <w:sz w:val="22"/>
          <w:szCs w:val="22"/>
        </w:rPr>
        <w:t xml:space="preserve"> data</w:t>
      </w:r>
      <w:r w:rsidR="00C97C55" w:rsidRPr="00C020ED">
        <w:rPr>
          <w:rStyle w:val="NoneA"/>
          <w:rFonts w:ascii="Calibri" w:eastAsia="Calibri" w:hAnsi="Calibri" w:cs="Calibri"/>
          <w:color w:val="000000" w:themeColor="text1"/>
          <w:sz w:val="22"/>
          <w:szCs w:val="22"/>
        </w:rPr>
        <w:t xml:space="preserve"> </w:t>
      </w:r>
      <w:r w:rsidR="00F3212D" w:rsidRPr="00C020ED">
        <w:rPr>
          <w:rStyle w:val="NoneA"/>
          <w:rFonts w:ascii="Calibri" w:eastAsia="Calibri" w:hAnsi="Calibri" w:cs="Calibri"/>
          <w:color w:val="000000" w:themeColor="text1"/>
          <w:sz w:val="22"/>
          <w:szCs w:val="22"/>
        </w:rPr>
        <w:t xml:space="preserve">from </w:t>
      </w:r>
      <w:r w:rsidR="00800812">
        <w:rPr>
          <w:rStyle w:val="NoneA"/>
          <w:rFonts w:ascii="Calibri" w:eastAsia="Calibri" w:hAnsi="Calibri" w:cs="Calibri"/>
          <w:color w:val="000000" w:themeColor="text1"/>
          <w:sz w:val="22"/>
          <w:szCs w:val="22"/>
        </w:rPr>
        <w:t>its</w:t>
      </w:r>
      <w:r w:rsidR="00F3212D" w:rsidRPr="00C020ED">
        <w:rPr>
          <w:rStyle w:val="NoneA"/>
          <w:rFonts w:ascii="Calibri" w:eastAsia="Calibri" w:hAnsi="Calibri" w:cs="Calibri"/>
          <w:color w:val="000000" w:themeColor="text1"/>
          <w:sz w:val="22"/>
          <w:szCs w:val="22"/>
        </w:rPr>
        <w:t xml:space="preserve"> proof</w:t>
      </w:r>
      <w:r w:rsidR="00800812">
        <w:rPr>
          <w:rStyle w:val="NoneA"/>
          <w:rFonts w:ascii="Calibri" w:eastAsia="Calibri" w:hAnsi="Calibri" w:cs="Calibri"/>
          <w:color w:val="000000" w:themeColor="text1"/>
          <w:sz w:val="22"/>
          <w:szCs w:val="22"/>
        </w:rPr>
        <w:t>-</w:t>
      </w:r>
      <w:r w:rsidR="00F3212D" w:rsidRPr="00C020ED">
        <w:rPr>
          <w:rStyle w:val="NoneA"/>
          <w:rFonts w:ascii="Calibri" w:eastAsia="Calibri" w:hAnsi="Calibri" w:cs="Calibri"/>
          <w:color w:val="000000" w:themeColor="text1"/>
          <w:sz w:val="22"/>
          <w:szCs w:val="22"/>
        </w:rPr>
        <w:t>of</w:t>
      </w:r>
      <w:r w:rsidR="00800812">
        <w:rPr>
          <w:rStyle w:val="NoneA"/>
          <w:rFonts w:ascii="Calibri" w:eastAsia="Calibri" w:hAnsi="Calibri" w:cs="Calibri"/>
          <w:color w:val="000000" w:themeColor="text1"/>
          <w:sz w:val="22"/>
          <w:szCs w:val="22"/>
        </w:rPr>
        <w:t>-</w:t>
      </w:r>
      <w:r w:rsidR="00F3212D" w:rsidRPr="00C020ED">
        <w:rPr>
          <w:rStyle w:val="NoneA"/>
          <w:rFonts w:ascii="Calibri" w:eastAsia="Calibri" w:hAnsi="Calibri" w:cs="Calibri"/>
          <w:color w:val="000000" w:themeColor="text1"/>
          <w:sz w:val="22"/>
          <w:szCs w:val="22"/>
        </w:rPr>
        <w:t xml:space="preserve">concept study </w:t>
      </w:r>
      <w:r w:rsidR="002F380F" w:rsidRPr="00C020ED">
        <w:rPr>
          <w:rStyle w:val="NoneA"/>
          <w:rFonts w:ascii="Calibri" w:eastAsia="Calibri" w:hAnsi="Calibri" w:cs="Calibri"/>
          <w:color w:val="000000" w:themeColor="text1"/>
          <w:sz w:val="22"/>
          <w:szCs w:val="22"/>
        </w:rPr>
        <w:t xml:space="preserve">that </w:t>
      </w:r>
      <w:r w:rsidR="00054E87" w:rsidRPr="00C020ED">
        <w:rPr>
          <w:rStyle w:val="NoneA"/>
          <w:rFonts w:ascii="Calibri" w:eastAsia="Calibri" w:hAnsi="Calibri" w:cs="Calibri"/>
          <w:color w:val="000000" w:themeColor="text1"/>
          <w:sz w:val="22"/>
          <w:szCs w:val="22"/>
        </w:rPr>
        <w:t xml:space="preserve">support </w:t>
      </w:r>
      <w:r w:rsidR="005A0D7F" w:rsidRPr="00C020ED">
        <w:rPr>
          <w:rStyle w:val="NoneA"/>
          <w:rFonts w:ascii="Calibri" w:eastAsia="Calibri" w:hAnsi="Calibri" w:cs="Calibri"/>
          <w:color w:val="000000" w:themeColor="text1"/>
          <w:sz w:val="22"/>
          <w:szCs w:val="22"/>
        </w:rPr>
        <w:t>the continued clinical development</w:t>
      </w:r>
      <w:r w:rsidR="004634B4" w:rsidRPr="00C020ED">
        <w:rPr>
          <w:rStyle w:val="NoneA"/>
          <w:rFonts w:ascii="Calibri" w:eastAsia="Calibri" w:hAnsi="Calibri" w:cs="Calibri"/>
          <w:color w:val="000000" w:themeColor="text1"/>
          <w:sz w:val="22"/>
          <w:szCs w:val="22"/>
        </w:rPr>
        <w:t xml:space="preserve"> of </w:t>
      </w:r>
      <w:r w:rsidR="00054E87" w:rsidRPr="00C020ED">
        <w:rPr>
          <w:rStyle w:val="NoneA"/>
          <w:rFonts w:ascii="Calibri" w:eastAsia="Calibri" w:hAnsi="Calibri" w:cs="Calibri"/>
          <w:color w:val="000000" w:themeColor="text1"/>
          <w:sz w:val="22"/>
          <w:szCs w:val="22"/>
        </w:rPr>
        <w:t xml:space="preserve">its proprietary </w:t>
      </w:r>
      <w:r w:rsidR="004634B4" w:rsidRPr="00C020ED">
        <w:rPr>
          <w:rStyle w:val="NoneA"/>
          <w:rFonts w:ascii="Calibri" w:eastAsia="Calibri" w:hAnsi="Calibri" w:cs="Calibri"/>
          <w:color w:val="000000" w:themeColor="text1"/>
          <w:sz w:val="22"/>
          <w:szCs w:val="22"/>
        </w:rPr>
        <w:t xml:space="preserve">bioelectronic </w:t>
      </w:r>
      <w:r w:rsidR="00054E87" w:rsidRPr="00C020ED">
        <w:rPr>
          <w:rStyle w:val="NoneA"/>
          <w:rFonts w:ascii="Calibri" w:eastAsia="Calibri" w:hAnsi="Calibri" w:cs="Calibri"/>
          <w:color w:val="000000" w:themeColor="text1"/>
          <w:sz w:val="22"/>
          <w:szCs w:val="22"/>
        </w:rPr>
        <w:t xml:space="preserve">device to </w:t>
      </w:r>
      <w:r w:rsidR="004634B4" w:rsidRPr="00C020ED">
        <w:rPr>
          <w:rStyle w:val="NoneA"/>
          <w:rFonts w:ascii="Calibri" w:eastAsia="Calibri" w:hAnsi="Calibri" w:cs="Calibri"/>
          <w:color w:val="000000" w:themeColor="text1"/>
          <w:sz w:val="22"/>
          <w:szCs w:val="22"/>
        </w:rPr>
        <w:t>treat</w:t>
      </w:r>
      <w:r w:rsidR="00054E87" w:rsidRPr="00C020ED">
        <w:rPr>
          <w:rStyle w:val="NoneA"/>
          <w:rFonts w:ascii="Calibri" w:eastAsia="Calibri" w:hAnsi="Calibri" w:cs="Calibri"/>
          <w:color w:val="000000" w:themeColor="text1"/>
          <w:sz w:val="22"/>
          <w:szCs w:val="22"/>
        </w:rPr>
        <w:t xml:space="preserve"> </w:t>
      </w:r>
      <w:r w:rsidR="004634B4" w:rsidRPr="00C020ED">
        <w:rPr>
          <w:rStyle w:val="NoneA"/>
          <w:rFonts w:ascii="Calibri" w:eastAsia="Calibri" w:hAnsi="Calibri" w:cs="Calibri"/>
          <w:color w:val="000000" w:themeColor="text1"/>
          <w:sz w:val="22"/>
          <w:szCs w:val="22"/>
        </w:rPr>
        <w:t xml:space="preserve">patients with rheumatoid arthritis (RA). </w:t>
      </w:r>
      <w:r w:rsidR="002660F8" w:rsidRPr="00C020ED">
        <w:rPr>
          <w:rStyle w:val="NoneA"/>
          <w:rFonts w:ascii="Calibri" w:eastAsia="Calibri" w:hAnsi="Calibri" w:cs="Calibri"/>
          <w:color w:val="000000" w:themeColor="text1"/>
          <w:sz w:val="22"/>
          <w:szCs w:val="22"/>
        </w:rPr>
        <w:t>R</w:t>
      </w:r>
      <w:r w:rsidR="004634B4" w:rsidRPr="00C020ED">
        <w:rPr>
          <w:rStyle w:val="NoneA"/>
          <w:rFonts w:ascii="Calibri" w:eastAsia="Calibri" w:hAnsi="Calibri" w:cs="Calibri"/>
          <w:color w:val="000000" w:themeColor="text1"/>
          <w:sz w:val="22"/>
          <w:szCs w:val="22"/>
        </w:rPr>
        <w:t xml:space="preserve">esults </w:t>
      </w:r>
      <w:r w:rsidR="009F05ED" w:rsidRPr="00C020ED">
        <w:rPr>
          <w:rStyle w:val="NoneA"/>
          <w:rFonts w:ascii="Calibri" w:eastAsia="Calibri" w:hAnsi="Calibri" w:cs="Calibri"/>
          <w:color w:val="000000" w:themeColor="text1"/>
          <w:sz w:val="22"/>
          <w:szCs w:val="22"/>
        </w:rPr>
        <w:t>will be</w:t>
      </w:r>
      <w:r w:rsidR="004634B4" w:rsidRPr="00C020ED">
        <w:rPr>
          <w:rStyle w:val="NoneA"/>
          <w:rFonts w:ascii="Calibri" w:eastAsia="Calibri" w:hAnsi="Calibri" w:cs="Calibri"/>
          <w:color w:val="000000" w:themeColor="text1"/>
          <w:sz w:val="22"/>
          <w:szCs w:val="22"/>
        </w:rPr>
        <w:t xml:space="preserve"> presented </w:t>
      </w:r>
      <w:r w:rsidR="009F05ED" w:rsidRPr="00C020ED">
        <w:rPr>
          <w:rStyle w:val="NoneA"/>
          <w:rFonts w:ascii="Calibri" w:eastAsia="Calibri" w:hAnsi="Calibri" w:cs="Calibri"/>
          <w:color w:val="000000" w:themeColor="text1"/>
          <w:sz w:val="22"/>
          <w:szCs w:val="22"/>
        </w:rPr>
        <w:t xml:space="preserve">today </w:t>
      </w:r>
      <w:r w:rsidR="004634B4" w:rsidRPr="00C020ED">
        <w:rPr>
          <w:rStyle w:val="NoneA"/>
          <w:rFonts w:ascii="Calibri" w:eastAsia="Calibri" w:hAnsi="Calibri" w:cs="Calibri"/>
          <w:color w:val="000000" w:themeColor="text1"/>
          <w:sz w:val="22"/>
          <w:szCs w:val="22"/>
        </w:rPr>
        <w:t>in two poster presentations during</w:t>
      </w:r>
      <w:r w:rsidRPr="00C020ED">
        <w:rPr>
          <w:rStyle w:val="NoneA"/>
          <w:rFonts w:ascii="Calibri" w:eastAsia="Calibri" w:hAnsi="Calibri" w:cs="Calibri"/>
          <w:color w:val="000000" w:themeColor="text1"/>
          <w:sz w:val="22"/>
          <w:szCs w:val="22"/>
        </w:rPr>
        <w:t xml:space="preserve"> </w:t>
      </w:r>
      <w:r w:rsidR="00031A00" w:rsidRPr="00C020ED">
        <w:rPr>
          <w:rStyle w:val="NoneA"/>
          <w:rFonts w:ascii="Calibri" w:eastAsia="Calibri" w:hAnsi="Calibri" w:cs="Calibri"/>
          <w:color w:val="000000" w:themeColor="text1"/>
          <w:sz w:val="22"/>
          <w:szCs w:val="22"/>
        </w:rPr>
        <w:t xml:space="preserve">the American College of Rheumatology (ACR) </w:t>
      </w:r>
      <w:r w:rsidR="005F799A" w:rsidRPr="00C020ED">
        <w:rPr>
          <w:rStyle w:val="NoneA"/>
          <w:rFonts w:ascii="Calibri" w:eastAsia="Calibri" w:hAnsi="Calibri" w:cs="Calibri"/>
          <w:color w:val="000000" w:themeColor="text1"/>
          <w:sz w:val="22"/>
          <w:szCs w:val="22"/>
        </w:rPr>
        <w:t xml:space="preserve">/ Association of Rheumatology Health Professionals (ARHP) </w:t>
      </w:r>
      <w:r w:rsidR="00BE1D5D" w:rsidRPr="00C020ED">
        <w:rPr>
          <w:rStyle w:val="NoneA"/>
          <w:rFonts w:ascii="Calibri" w:eastAsia="Calibri" w:hAnsi="Calibri" w:cs="Calibri"/>
          <w:color w:val="000000" w:themeColor="text1"/>
          <w:sz w:val="22"/>
          <w:szCs w:val="22"/>
        </w:rPr>
        <w:t xml:space="preserve">2018 </w:t>
      </w:r>
      <w:r w:rsidR="00031A00" w:rsidRPr="00C020ED">
        <w:rPr>
          <w:rStyle w:val="NoneA"/>
          <w:rFonts w:ascii="Calibri" w:eastAsia="Calibri" w:hAnsi="Calibri" w:cs="Calibri"/>
          <w:color w:val="000000" w:themeColor="text1"/>
          <w:sz w:val="22"/>
          <w:szCs w:val="22"/>
        </w:rPr>
        <w:t xml:space="preserve">Annual Meeting, </w:t>
      </w:r>
      <w:r w:rsidR="004634B4" w:rsidRPr="00C020ED">
        <w:rPr>
          <w:rStyle w:val="NoneA"/>
          <w:rFonts w:ascii="Calibri" w:eastAsia="Calibri" w:hAnsi="Calibri" w:cs="Calibri"/>
          <w:color w:val="000000" w:themeColor="text1"/>
          <w:sz w:val="22"/>
          <w:szCs w:val="22"/>
        </w:rPr>
        <w:t>taking</w:t>
      </w:r>
      <w:r w:rsidR="00031A00" w:rsidRPr="00C020ED">
        <w:rPr>
          <w:rStyle w:val="NoneA"/>
          <w:rFonts w:ascii="Calibri" w:eastAsia="Calibri" w:hAnsi="Calibri" w:cs="Calibri"/>
          <w:color w:val="000000" w:themeColor="text1"/>
          <w:sz w:val="22"/>
          <w:szCs w:val="22"/>
        </w:rPr>
        <w:t xml:space="preserve"> place October 19-</w:t>
      </w:r>
      <w:r w:rsidR="005868EA" w:rsidRPr="00C020ED">
        <w:rPr>
          <w:rStyle w:val="NoneA"/>
          <w:rFonts w:ascii="Calibri" w:eastAsia="Calibri" w:hAnsi="Calibri" w:cs="Calibri"/>
          <w:color w:val="000000" w:themeColor="text1"/>
          <w:sz w:val="22"/>
          <w:szCs w:val="22"/>
        </w:rPr>
        <w:t>23</w:t>
      </w:r>
      <w:r w:rsidR="00031A00" w:rsidRPr="00C020ED">
        <w:rPr>
          <w:rStyle w:val="NoneA"/>
          <w:rFonts w:ascii="Calibri" w:eastAsia="Calibri" w:hAnsi="Calibri" w:cs="Calibri"/>
          <w:color w:val="000000" w:themeColor="text1"/>
          <w:sz w:val="22"/>
          <w:szCs w:val="22"/>
        </w:rPr>
        <w:t xml:space="preserve"> in Chicago, IL</w:t>
      </w:r>
      <w:r w:rsidR="005868EA" w:rsidRPr="00C020ED">
        <w:rPr>
          <w:rStyle w:val="NoneA"/>
          <w:rFonts w:ascii="Calibri" w:eastAsia="Calibri" w:hAnsi="Calibri" w:cs="Calibri"/>
          <w:color w:val="000000" w:themeColor="text1"/>
          <w:sz w:val="22"/>
          <w:szCs w:val="22"/>
        </w:rPr>
        <w:t>.</w:t>
      </w:r>
    </w:p>
    <w:p w14:paraId="71B8BDCF" w14:textId="77777777" w:rsidR="00C97C55" w:rsidRPr="00C020ED" w:rsidRDefault="00C97C55" w:rsidP="003F779C">
      <w:pPr>
        <w:pStyle w:val="BodyB"/>
        <w:jc w:val="both"/>
        <w:rPr>
          <w:rStyle w:val="NoneA"/>
          <w:rFonts w:ascii="Calibri" w:eastAsia="Calibri" w:hAnsi="Calibri" w:cs="Calibri"/>
          <w:color w:val="000000" w:themeColor="text1"/>
          <w:sz w:val="22"/>
          <w:szCs w:val="22"/>
        </w:rPr>
      </w:pPr>
    </w:p>
    <w:p w14:paraId="640C74DC" w14:textId="5BA4B2D7" w:rsidR="005B3B71" w:rsidRPr="00C020ED" w:rsidRDefault="00F3212D" w:rsidP="00C97C55">
      <w:pPr>
        <w:pStyle w:val="BodyB"/>
        <w:jc w:val="both"/>
        <w:rPr>
          <w:rStyle w:val="NoneA"/>
          <w:rFonts w:ascii="Calibri" w:eastAsia="Calibri" w:hAnsi="Calibri" w:cs="Calibri"/>
          <w:color w:val="000000" w:themeColor="text1"/>
          <w:sz w:val="22"/>
          <w:szCs w:val="22"/>
        </w:rPr>
      </w:pPr>
      <w:r w:rsidRPr="00C020ED">
        <w:rPr>
          <w:rStyle w:val="NoneA"/>
          <w:rFonts w:ascii="Calibri" w:eastAsia="Calibri" w:hAnsi="Calibri" w:cs="Calibri"/>
          <w:color w:val="000000" w:themeColor="text1"/>
          <w:sz w:val="22"/>
          <w:szCs w:val="22"/>
        </w:rPr>
        <w:t>R</w:t>
      </w:r>
      <w:r w:rsidR="00C97C55" w:rsidRPr="00C020ED">
        <w:rPr>
          <w:rStyle w:val="NoneA"/>
          <w:rFonts w:ascii="Calibri" w:eastAsia="Calibri" w:hAnsi="Calibri" w:cs="Calibri"/>
          <w:color w:val="000000" w:themeColor="text1"/>
          <w:sz w:val="22"/>
          <w:szCs w:val="22"/>
        </w:rPr>
        <w:t>esults for</w:t>
      </w:r>
      <w:r w:rsidRPr="00C020ED">
        <w:rPr>
          <w:rStyle w:val="NoneA"/>
          <w:rFonts w:ascii="Calibri" w:eastAsia="Calibri" w:hAnsi="Calibri" w:cs="Calibri"/>
          <w:color w:val="000000" w:themeColor="text1"/>
          <w:sz w:val="22"/>
          <w:szCs w:val="22"/>
        </w:rPr>
        <w:t xml:space="preserve"> the</w:t>
      </w:r>
      <w:r w:rsidR="00C97C55" w:rsidRPr="00C020ED">
        <w:rPr>
          <w:rStyle w:val="NoneA"/>
          <w:rFonts w:ascii="Calibri" w:eastAsia="Calibri" w:hAnsi="Calibri" w:cs="Calibri"/>
          <w:color w:val="000000" w:themeColor="text1"/>
          <w:sz w:val="22"/>
          <w:szCs w:val="22"/>
        </w:rPr>
        <w:t xml:space="preserve"> </w:t>
      </w:r>
      <w:r w:rsidRPr="00C020ED">
        <w:rPr>
          <w:rStyle w:val="NoneA"/>
          <w:rFonts w:ascii="Calibri" w:eastAsia="Calibri" w:hAnsi="Calibri" w:cs="Calibri"/>
          <w:color w:val="000000" w:themeColor="text1"/>
          <w:sz w:val="22"/>
          <w:szCs w:val="22"/>
        </w:rPr>
        <w:t>completed proof-of-concept</w:t>
      </w:r>
      <w:r w:rsidR="00C97C55" w:rsidRPr="00C020ED">
        <w:rPr>
          <w:rStyle w:val="NoneA"/>
          <w:rFonts w:ascii="Calibri" w:eastAsia="Calibri" w:hAnsi="Calibri" w:cs="Calibri"/>
          <w:color w:val="000000" w:themeColor="text1"/>
          <w:sz w:val="22"/>
          <w:szCs w:val="22"/>
        </w:rPr>
        <w:t xml:space="preserve"> study </w:t>
      </w:r>
      <w:r w:rsidRPr="00C020ED">
        <w:rPr>
          <w:rStyle w:val="NoneA"/>
          <w:rFonts w:ascii="Calibri" w:eastAsia="Calibri" w:hAnsi="Calibri" w:cs="Calibri"/>
          <w:color w:val="000000" w:themeColor="text1"/>
          <w:sz w:val="22"/>
          <w:szCs w:val="22"/>
        </w:rPr>
        <w:t xml:space="preserve">in Europe </w:t>
      </w:r>
      <w:r w:rsidR="005B3B71" w:rsidRPr="00C020ED">
        <w:rPr>
          <w:rStyle w:val="NoneA"/>
          <w:rFonts w:ascii="Calibri" w:eastAsia="Calibri" w:hAnsi="Calibri" w:cs="Calibri"/>
          <w:color w:val="000000" w:themeColor="text1"/>
          <w:sz w:val="22"/>
          <w:szCs w:val="22"/>
        </w:rPr>
        <w:t>support</w:t>
      </w:r>
      <w:r w:rsidRPr="00C020ED">
        <w:rPr>
          <w:rStyle w:val="NoneA"/>
          <w:rFonts w:ascii="Calibri" w:eastAsia="Calibri" w:hAnsi="Calibri" w:cs="Calibri"/>
          <w:color w:val="000000" w:themeColor="text1"/>
          <w:sz w:val="22"/>
          <w:szCs w:val="22"/>
        </w:rPr>
        <w:t>ed</w:t>
      </w:r>
      <w:r w:rsidR="005B3B71" w:rsidRPr="00C020ED">
        <w:rPr>
          <w:rStyle w:val="NoneA"/>
          <w:rFonts w:ascii="Calibri" w:eastAsia="Calibri" w:hAnsi="Calibri" w:cs="Calibri"/>
          <w:color w:val="000000" w:themeColor="text1"/>
          <w:sz w:val="22"/>
          <w:szCs w:val="22"/>
        </w:rPr>
        <w:t xml:space="preserve"> the initiation of a U.S. Food and Drug Administration (FDA) pilot Investigational Device Exemption (IDE) study evaluating </w:t>
      </w:r>
      <w:proofErr w:type="spellStart"/>
      <w:r w:rsidR="005B3B71" w:rsidRPr="00C020ED">
        <w:rPr>
          <w:rStyle w:val="NoneA"/>
          <w:rFonts w:ascii="Calibri" w:eastAsia="Calibri" w:hAnsi="Calibri" w:cs="Calibri"/>
          <w:color w:val="000000" w:themeColor="text1"/>
          <w:sz w:val="22"/>
          <w:szCs w:val="22"/>
        </w:rPr>
        <w:t>SetPoint’s</w:t>
      </w:r>
      <w:proofErr w:type="spellEnd"/>
      <w:r w:rsidR="005B3B71" w:rsidRPr="00C020ED">
        <w:rPr>
          <w:rStyle w:val="NoneA"/>
          <w:rFonts w:ascii="Calibri" w:eastAsia="Calibri" w:hAnsi="Calibri" w:cs="Calibri"/>
          <w:color w:val="000000" w:themeColor="text1"/>
          <w:sz w:val="22"/>
          <w:szCs w:val="22"/>
        </w:rPr>
        <w:t xml:space="preserve"> proprietary miniaturized microregulator, for which the company recently announced completion of enrollment.  </w:t>
      </w:r>
    </w:p>
    <w:p w14:paraId="217D6EB2" w14:textId="77777777" w:rsidR="005B3B71" w:rsidRPr="00C020ED" w:rsidRDefault="005B3B71" w:rsidP="003F779C">
      <w:pPr>
        <w:pStyle w:val="BodyB"/>
        <w:jc w:val="both"/>
        <w:rPr>
          <w:rStyle w:val="NoneA"/>
          <w:rFonts w:ascii="Calibri" w:eastAsia="Calibri" w:hAnsi="Calibri" w:cs="Calibri"/>
          <w:color w:val="000000" w:themeColor="text1"/>
          <w:sz w:val="22"/>
          <w:szCs w:val="22"/>
        </w:rPr>
      </w:pPr>
    </w:p>
    <w:p w14:paraId="60A106E7" w14:textId="041A0463" w:rsidR="005A0D7F" w:rsidRPr="00C020ED" w:rsidRDefault="005A0D7F" w:rsidP="005A0D7F">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Murthy Simhambhatla, President and Chief Executive Officer of SetPoint Medical, said, “It’s exciting to see the development of our unique bioelectronic medicine solution progressing as a fundamentally different treatment option for rheumatoid arthritis. Current autoimmune disease treatments slow disease progression</w:t>
      </w:r>
      <w:r w:rsidR="00E45BE8" w:rsidRPr="00C020ED">
        <w:rPr>
          <w:rFonts w:ascii="Calibri" w:eastAsia="Calibri" w:hAnsi="Calibri" w:cs="Calibri"/>
          <w:color w:val="000000" w:themeColor="text1"/>
          <w:sz w:val="22"/>
          <w:szCs w:val="22"/>
        </w:rPr>
        <w:t xml:space="preserve"> but</w:t>
      </w:r>
      <w:r w:rsidRPr="00C020ED">
        <w:rPr>
          <w:rFonts w:ascii="Calibri" w:eastAsia="Calibri" w:hAnsi="Calibri" w:cs="Calibri"/>
          <w:color w:val="000000" w:themeColor="text1"/>
          <w:sz w:val="22"/>
          <w:szCs w:val="22"/>
        </w:rPr>
        <w:t xml:space="preserve"> have significant negative side effects, leave many patients with significantly diminished quality of life, have substantial compliance challenges and are extremely costly. Our alternative approach has the potential to improve upon each of these limitations and we look forward to having our</w:t>
      </w:r>
      <w:r w:rsidR="00E45BE8" w:rsidRPr="00C020ED">
        <w:rPr>
          <w:rFonts w:ascii="Calibri" w:eastAsia="Calibri" w:hAnsi="Calibri" w:cs="Calibri"/>
          <w:color w:val="000000" w:themeColor="text1"/>
          <w:sz w:val="22"/>
          <w:szCs w:val="22"/>
        </w:rPr>
        <w:t xml:space="preserve"> recent</w:t>
      </w:r>
      <w:r w:rsidRPr="00C020ED">
        <w:rPr>
          <w:rFonts w:ascii="Calibri" w:eastAsia="Calibri" w:hAnsi="Calibri" w:cs="Calibri"/>
          <w:color w:val="000000" w:themeColor="text1"/>
          <w:sz w:val="22"/>
          <w:szCs w:val="22"/>
        </w:rPr>
        <w:t xml:space="preserve"> clinical advancements presented by leading experts at this year’s ACR</w:t>
      </w:r>
      <w:r w:rsidR="00D44DA7" w:rsidRPr="00C020ED">
        <w:rPr>
          <w:rFonts w:ascii="Calibri" w:eastAsia="Calibri" w:hAnsi="Calibri" w:cs="Calibri"/>
          <w:color w:val="000000" w:themeColor="text1"/>
          <w:sz w:val="22"/>
          <w:szCs w:val="22"/>
        </w:rPr>
        <w:t>/ARHP</w:t>
      </w:r>
      <w:r w:rsidRPr="00C020ED">
        <w:rPr>
          <w:rFonts w:ascii="Calibri" w:eastAsia="Calibri" w:hAnsi="Calibri" w:cs="Calibri"/>
          <w:color w:val="000000" w:themeColor="text1"/>
          <w:sz w:val="22"/>
          <w:szCs w:val="22"/>
        </w:rPr>
        <w:t xml:space="preserve"> Annual Meeting.” </w:t>
      </w:r>
    </w:p>
    <w:p w14:paraId="3054A9BC" w14:textId="3B006298" w:rsidR="005B3B71" w:rsidRPr="00C020ED" w:rsidRDefault="005B3B71" w:rsidP="005A0D7F">
      <w:pPr>
        <w:pStyle w:val="BodyB"/>
        <w:jc w:val="both"/>
        <w:rPr>
          <w:rStyle w:val="NoneA"/>
          <w:rFonts w:ascii="Calibri" w:eastAsia="Calibri" w:hAnsi="Calibri" w:cs="Calibri"/>
          <w:color w:val="000000" w:themeColor="text1"/>
          <w:sz w:val="22"/>
          <w:szCs w:val="22"/>
        </w:rPr>
      </w:pPr>
    </w:p>
    <w:p w14:paraId="339E4358" w14:textId="01D14501"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b/>
          <w:color w:val="000000" w:themeColor="text1"/>
          <w:sz w:val="22"/>
          <w:szCs w:val="22"/>
        </w:rPr>
        <w:t>A First-in-Man Bioelectronic Therapy for Biologic-Refractory Rheumatoid Arthritis</w:t>
      </w:r>
    </w:p>
    <w:p w14:paraId="5D33B004" w14:textId="3E905451"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 xml:space="preserve">Session Title: </w:t>
      </w:r>
      <w:r w:rsidRPr="00C020ED">
        <w:rPr>
          <w:rFonts w:ascii="Calibri" w:eastAsia="Calibri" w:hAnsi="Calibri" w:cs="Calibri"/>
          <w:color w:val="000000" w:themeColor="text1"/>
          <w:sz w:val="22"/>
          <w:szCs w:val="22"/>
        </w:rPr>
        <w:tab/>
        <w:t xml:space="preserve">Rheumatoid Arthritis – Diagnosis, Manifestations, and Outcomes Poster III: Complications of </w:t>
      </w:r>
      <w:r w:rsidRPr="00C020ED">
        <w:rPr>
          <w:rFonts w:ascii="Calibri" w:eastAsia="Calibri" w:hAnsi="Calibri" w:cs="Calibri"/>
          <w:color w:val="000000" w:themeColor="text1"/>
          <w:sz w:val="22"/>
          <w:szCs w:val="22"/>
        </w:rPr>
        <w:tab/>
      </w:r>
      <w:r w:rsidRPr="00C020ED">
        <w:rPr>
          <w:rFonts w:ascii="Calibri" w:eastAsia="Calibri" w:hAnsi="Calibri" w:cs="Calibri"/>
          <w:color w:val="000000" w:themeColor="text1"/>
          <w:sz w:val="22"/>
          <w:szCs w:val="22"/>
        </w:rPr>
        <w:tab/>
        <w:t>Therapy, Outcomes, and Measures</w:t>
      </w:r>
    </w:p>
    <w:p w14:paraId="22F464A5" w14:textId="33C471CB"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 xml:space="preserve">Location: </w:t>
      </w:r>
      <w:r w:rsidRPr="00C020ED">
        <w:rPr>
          <w:rFonts w:ascii="Calibri" w:eastAsia="Calibri" w:hAnsi="Calibri" w:cs="Calibri"/>
          <w:color w:val="000000" w:themeColor="text1"/>
          <w:sz w:val="22"/>
          <w:szCs w:val="22"/>
        </w:rPr>
        <w:tab/>
        <w:t>Poster Session C, Poster #72161</w:t>
      </w:r>
    </w:p>
    <w:p w14:paraId="14C5C398" w14:textId="5F075354"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 xml:space="preserve">Date: </w:t>
      </w:r>
      <w:r w:rsidRPr="00C020ED">
        <w:rPr>
          <w:rFonts w:ascii="Calibri" w:eastAsia="Calibri" w:hAnsi="Calibri" w:cs="Calibri"/>
          <w:color w:val="000000" w:themeColor="text1"/>
          <w:sz w:val="22"/>
          <w:szCs w:val="22"/>
        </w:rPr>
        <w:tab/>
      </w:r>
      <w:r w:rsidRPr="00C020ED">
        <w:rPr>
          <w:rFonts w:ascii="Calibri" w:eastAsia="Calibri" w:hAnsi="Calibri" w:cs="Calibri"/>
          <w:color w:val="000000" w:themeColor="text1"/>
          <w:sz w:val="22"/>
          <w:szCs w:val="22"/>
        </w:rPr>
        <w:tab/>
        <w:t>Tuesday, October 23; 9:00-11:00 a.m. CDT</w:t>
      </w:r>
    </w:p>
    <w:p w14:paraId="0905384D" w14:textId="77777777" w:rsidR="00BE1D5D" w:rsidRPr="00C020ED" w:rsidRDefault="00BE1D5D" w:rsidP="00BE1D5D">
      <w:pPr>
        <w:pStyle w:val="BodyB"/>
        <w:jc w:val="both"/>
        <w:rPr>
          <w:rFonts w:ascii="Calibri" w:eastAsia="Calibri" w:hAnsi="Calibri" w:cs="Calibri"/>
          <w:color w:val="000000" w:themeColor="text1"/>
          <w:sz w:val="22"/>
          <w:szCs w:val="22"/>
        </w:rPr>
      </w:pPr>
    </w:p>
    <w:p w14:paraId="3DEE02B6" w14:textId="5693E7C4" w:rsidR="005A0D7F" w:rsidRPr="00C020ED" w:rsidRDefault="00E9309C" w:rsidP="00E9309C">
      <w:pPr>
        <w:pStyle w:val="BodyB"/>
        <w:jc w:val="both"/>
        <w:rPr>
          <w:rStyle w:val="NoneA"/>
          <w:rFonts w:ascii="Calibri" w:eastAsia="Calibri" w:hAnsi="Calibri" w:cs="Calibri"/>
          <w:color w:val="000000" w:themeColor="text1"/>
          <w:sz w:val="22"/>
          <w:szCs w:val="22"/>
        </w:rPr>
      </w:pPr>
      <w:r w:rsidRPr="00C020ED">
        <w:rPr>
          <w:rStyle w:val="NoneA"/>
          <w:rFonts w:ascii="Calibri" w:eastAsia="Calibri" w:hAnsi="Calibri" w:cs="Calibri"/>
          <w:color w:val="000000" w:themeColor="text1"/>
          <w:sz w:val="22"/>
          <w:szCs w:val="22"/>
        </w:rPr>
        <w:t xml:space="preserve">The </w:t>
      </w:r>
      <w:r w:rsidR="009F05ED" w:rsidRPr="00C020ED">
        <w:rPr>
          <w:rStyle w:val="NoneA"/>
          <w:rFonts w:ascii="Calibri" w:eastAsia="Calibri" w:hAnsi="Calibri" w:cs="Calibri"/>
          <w:color w:val="000000" w:themeColor="text1"/>
          <w:sz w:val="22"/>
          <w:szCs w:val="22"/>
        </w:rPr>
        <w:t>poster</w:t>
      </w:r>
      <w:r w:rsidR="00BE1D5D" w:rsidRPr="00C020ED">
        <w:rPr>
          <w:rStyle w:val="NoneA"/>
          <w:rFonts w:ascii="Calibri" w:eastAsia="Calibri" w:hAnsi="Calibri" w:cs="Calibri"/>
          <w:color w:val="000000" w:themeColor="text1"/>
          <w:sz w:val="22"/>
          <w:szCs w:val="22"/>
        </w:rPr>
        <w:t xml:space="preserve"> </w:t>
      </w:r>
      <w:r w:rsidRPr="00C020ED">
        <w:rPr>
          <w:rFonts w:ascii="Calibri" w:eastAsia="Calibri" w:hAnsi="Calibri" w:cs="Calibri"/>
          <w:color w:val="000000" w:themeColor="text1"/>
          <w:sz w:val="22"/>
          <w:szCs w:val="22"/>
        </w:rPr>
        <w:t>outlines the</w:t>
      </w:r>
      <w:r w:rsidR="00C97C55" w:rsidRPr="00C020ED">
        <w:rPr>
          <w:rFonts w:ascii="Calibri" w:eastAsia="Calibri" w:hAnsi="Calibri" w:cs="Calibri"/>
          <w:color w:val="000000" w:themeColor="text1"/>
          <w:sz w:val="22"/>
          <w:szCs w:val="22"/>
        </w:rPr>
        <w:t xml:space="preserve"> </w:t>
      </w:r>
      <w:r w:rsidR="00A54266" w:rsidRPr="00C020ED">
        <w:rPr>
          <w:rFonts w:ascii="Calibri" w:eastAsia="Calibri" w:hAnsi="Calibri" w:cs="Calibri"/>
          <w:color w:val="000000" w:themeColor="text1"/>
          <w:sz w:val="22"/>
          <w:szCs w:val="22"/>
        </w:rPr>
        <w:t>results from the initial proof-of-concept, first-in-human</w:t>
      </w:r>
      <w:r w:rsidR="00C97C55" w:rsidRPr="00C020ED">
        <w:rPr>
          <w:rFonts w:ascii="Calibri" w:eastAsia="Calibri" w:hAnsi="Calibri" w:cs="Calibri"/>
          <w:color w:val="000000" w:themeColor="text1"/>
          <w:sz w:val="22"/>
          <w:szCs w:val="22"/>
        </w:rPr>
        <w:t xml:space="preserve"> </w:t>
      </w:r>
      <w:r w:rsidR="00A54266" w:rsidRPr="00C020ED">
        <w:rPr>
          <w:rFonts w:ascii="Calibri" w:eastAsia="Calibri" w:hAnsi="Calibri" w:cs="Calibri"/>
          <w:color w:val="000000" w:themeColor="text1"/>
          <w:sz w:val="22"/>
          <w:szCs w:val="22"/>
        </w:rPr>
        <w:t xml:space="preserve">European study using </w:t>
      </w:r>
      <w:r w:rsidR="005F799A" w:rsidRPr="00C020ED">
        <w:rPr>
          <w:rFonts w:ascii="Calibri" w:eastAsia="Calibri" w:hAnsi="Calibri" w:cs="Calibri"/>
          <w:color w:val="000000" w:themeColor="text1"/>
          <w:sz w:val="22"/>
          <w:szCs w:val="22"/>
        </w:rPr>
        <w:t>a</w:t>
      </w:r>
      <w:r w:rsidR="00A54266" w:rsidRPr="00C020ED">
        <w:rPr>
          <w:rFonts w:ascii="Calibri" w:eastAsia="Calibri" w:hAnsi="Calibri" w:cs="Calibri"/>
          <w:color w:val="000000" w:themeColor="text1"/>
          <w:sz w:val="22"/>
          <w:szCs w:val="22"/>
        </w:rPr>
        <w:t xml:space="preserve"> </w:t>
      </w:r>
      <w:proofErr w:type="spellStart"/>
      <w:r w:rsidR="00A54266" w:rsidRPr="00C020ED">
        <w:rPr>
          <w:rFonts w:ascii="Calibri" w:eastAsia="Calibri" w:hAnsi="Calibri" w:cs="Calibri"/>
          <w:color w:val="000000" w:themeColor="text1"/>
          <w:sz w:val="22"/>
          <w:szCs w:val="22"/>
        </w:rPr>
        <w:t>vagus</w:t>
      </w:r>
      <w:proofErr w:type="spellEnd"/>
      <w:r w:rsidR="00A54266" w:rsidRPr="00C020ED">
        <w:rPr>
          <w:rFonts w:ascii="Calibri" w:eastAsia="Calibri" w:hAnsi="Calibri" w:cs="Calibri"/>
          <w:color w:val="000000" w:themeColor="text1"/>
          <w:sz w:val="22"/>
          <w:szCs w:val="22"/>
        </w:rPr>
        <w:t xml:space="preserve"> nerve stimulation (VNS) device and</w:t>
      </w:r>
      <w:r w:rsidR="00C97C55" w:rsidRPr="00C020ED">
        <w:rPr>
          <w:rFonts w:ascii="Calibri" w:eastAsia="Calibri" w:hAnsi="Calibri" w:cs="Calibri"/>
          <w:color w:val="000000" w:themeColor="text1"/>
          <w:sz w:val="22"/>
          <w:szCs w:val="22"/>
        </w:rPr>
        <w:t xml:space="preserve"> the</w:t>
      </w:r>
      <w:r w:rsidR="00A54266" w:rsidRPr="00C020ED">
        <w:rPr>
          <w:rFonts w:ascii="Calibri" w:eastAsia="Calibri" w:hAnsi="Calibri" w:cs="Calibri"/>
          <w:color w:val="000000" w:themeColor="text1"/>
          <w:sz w:val="22"/>
          <w:szCs w:val="22"/>
        </w:rPr>
        <w:t xml:space="preserve"> </w:t>
      </w:r>
      <w:r w:rsidR="0071666C" w:rsidRPr="00C020ED">
        <w:rPr>
          <w:rFonts w:ascii="Calibri" w:eastAsia="Calibri" w:hAnsi="Calibri" w:cs="Calibri"/>
          <w:color w:val="000000" w:themeColor="text1"/>
          <w:sz w:val="22"/>
          <w:szCs w:val="22"/>
        </w:rPr>
        <w:t xml:space="preserve">trial design </w:t>
      </w:r>
      <w:r w:rsidR="00A54266" w:rsidRPr="00C020ED">
        <w:rPr>
          <w:rFonts w:ascii="Calibri" w:eastAsia="Calibri" w:hAnsi="Calibri" w:cs="Calibri"/>
          <w:color w:val="000000" w:themeColor="text1"/>
          <w:sz w:val="22"/>
          <w:szCs w:val="22"/>
        </w:rPr>
        <w:t xml:space="preserve">for </w:t>
      </w:r>
      <w:r w:rsidR="00C107DF" w:rsidRPr="00C020ED">
        <w:rPr>
          <w:rFonts w:ascii="Calibri" w:eastAsia="Calibri" w:hAnsi="Calibri" w:cs="Calibri"/>
          <w:color w:val="000000" w:themeColor="text1"/>
          <w:sz w:val="22"/>
          <w:szCs w:val="22"/>
        </w:rPr>
        <w:t xml:space="preserve">the </w:t>
      </w:r>
      <w:r w:rsidRPr="00C020ED">
        <w:rPr>
          <w:rFonts w:ascii="Calibri" w:eastAsia="Calibri" w:hAnsi="Calibri" w:cs="Calibri"/>
          <w:color w:val="000000" w:themeColor="text1"/>
          <w:sz w:val="22"/>
          <w:szCs w:val="22"/>
        </w:rPr>
        <w:t>U</w:t>
      </w:r>
      <w:r w:rsidR="009F05ED" w:rsidRPr="00C020ED">
        <w:rPr>
          <w:rFonts w:ascii="Calibri" w:eastAsia="Calibri" w:hAnsi="Calibri" w:cs="Calibri"/>
          <w:color w:val="000000" w:themeColor="text1"/>
          <w:sz w:val="22"/>
          <w:szCs w:val="22"/>
        </w:rPr>
        <w:t>.</w:t>
      </w:r>
      <w:r w:rsidRPr="00C020ED">
        <w:rPr>
          <w:rFonts w:ascii="Calibri" w:eastAsia="Calibri" w:hAnsi="Calibri" w:cs="Calibri"/>
          <w:color w:val="000000" w:themeColor="text1"/>
          <w:sz w:val="22"/>
          <w:szCs w:val="22"/>
        </w:rPr>
        <w:t>S</w:t>
      </w:r>
      <w:r w:rsidR="009F05ED" w:rsidRPr="00C020ED">
        <w:rPr>
          <w:rFonts w:ascii="Calibri" w:eastAsia="Calibri" w:hAnsi="Calibri" w:cs="Calibri"/>
          <w:color w:val="000000" w:themeColor="text1"/>
          <w:sz w:val="22"/>
          <w:szCs w:val="22"/>
        </w:rPr>
        <w:t>.</w:t>
      </w:r>
      <w:r w:rsidR="00A54266" w:rsidRPr="00C020ED">
        <w:rPr>
          <w:rFonts w:ascii="Calibri" w:eastAsia="Calibri" w:hAnsi="Calibri" w:cs="Calibri"/>
          <w:color w:val="000000" w:themeColor="text1"/>
          <w:sz w:val="22"/>
          <w:szCs w:val="22"/>
        </w:rPr>
        <w:t xml:space="preserve"> pilot</w:t>
      </w:r>
      <w:r w:rsidRPr="00C020ED">
        <w:rPr>
          <w:rFonts w:ascii="Calibri" w:eastAsia="Calibri" w:hAnsi="Calibri" w:cs="Calibri"/>
          <w:color w:val="000000" w:themeColor="text1"/>
          <w:sz w:val="22"/>
          <w:szCs w:val="22"/>
        </w:rPr>
        <w:t xml:space="preserve"> </w:t>
      </w:r>
      <w:r w:rsidR="00A54266" w:rsidRPr="00C020ED">
        <w:rPr>
          <w:rFonts w:ascii="Calibri" w:eastAsia="Calibri" w:hAnsi="Calibri" w:cs="Calibri"/>
          <w:color w:val="000000" w:themeColor="text1"/>
          <w:sz w:val="22"/>
          <w:szCs w:val="22"/>
        </w:rPr>
        <w:t>IDE study</w:t>
      </w:r>
      <w:r w:rsidR="00A54266" w:rsidRPr="00C020ED" w:rsidDel="00A54266">
        <w:rPr>
          <w:rFonts w:ascii="Calibri" w:eastAsia="Calibri" w:hAnsi="Calibri" w:cs="Calibri"/>
          <w:color w:val="000000" w:themeColor="text1"/>
          <w:sz w:val="22"/>
          <w:szCs w:val="22"/>
        </w:rPr>
        <w:t xml:space="preserve"> </w:t>
      </w:r>
      <w:r w:rsidR="00C107DF" w:rsidRPr="00C020ED">
        <w:rPr>
          <w:rFonts w:ascii="Calibri" w:eastAsia="Calibri" w:hAnsi="Calibri" w:cs="Calibri"/>
          <w:color w:val="000000" w:themeColor="text1"/>
          <w:sz w:val="22"/>
          <w:szCs w:val="22"/>
        </w:rPr>
        <w:t xml:space="preserve">evaluating </w:t>
      </w:r>
      <w:r w:rsidRPr="00C020ED">
        <w:rPr>
          <w:rFonts w:ascii="Calibri" w:eastAsia="Calibri" w:hAnsi="Calibri" w:cs="Calibri"/>
          <w:color w:val="000000" w:themeColor="text1"/>
          <w:sz w:val="22"/>
          <w:szCs w:val="22"/>
        </w:rPr>
        <w:t xml:space="preserve">safety and </w:t>
      </w:r>
      <w:r w:rsidR="00C107DF" w:rsidRPr="00C020ED">
        <w:rPr>
          <w:rFonts w:ascii="Calibri" w:eastAsia="Calibri" w:hAnsi="Calibri" w:cs="Calibri"/>
          <w:color w:val="000000" w:themeColor="text1"/>
          <w:sz w:val="22"/>
          <w:szCs w:val="22"/>
        </w:rPr>
        <w:lastRenderedPageBreak/>
        <w:t xml:space="preserve">tolerability </w:t>
      </w:r>
      <w:r w:rsidRPr="00C020ED">
        <w:rPr>
          <w:rFonts w:ascii="Calibri" w:eastAsia="Calibri" w:hAnsi="Calibri" w:cs="Calibri"/>
          <w:color w:val="000000" w:themeColor="text1"/>
          <w:sz w:val="22"/>
          <w:szCs w:val="22"/>
        </w:rPr>
        <w:t xml:space="preserve">of </w:t>
      </w:r>
      <w:proofErr w:type="spellStart"/>
      <w:r w:rsidRPr="00C020ED">
        <w:rPr>
          <w:rFonts w:ascii="Calibri" w:eastAsia="Calibri" w:hAnsi="Calibri" w:cs="Calibri"/>
          <w:color w:val="000000" w:themeColor="text1"/>
          <w:sz w:val="22"/>
          <w:szCs w:val="22"/>
        </w:rPr>
        <w:t>SetPoint’s</w:t>
      </w:r>
      <w:proofErr w:type="spellEnd"/>
      <w:r w:rsidRPr="00C020ED">
        <w:rPr>
          <w:rFonts w:ascii="Calibri" w:eastAsia="Calibri" w:hAnsi="Calibri" w:cs="Calibri"/>
          <w:color w:val="000000" w:themeColor="text1"/>
          <w:sz w:val="22"/>
          <w:szCs w:val="22"/>
        </w:rPr>
        <w:t xml:space="preserve"> proprietary </w:t>
      </w:r>
      <w:r w:rsidR="00A54266" w:rsidRPr="00C020ED">
        <w:rPr>
          <w:rFonts w:ascii="Calibri" w:eastAsia="Calibri" w:hAnsi="Calibri" w:cs="Calibri"/>
          <w:color w:val="000000" w:themeColor="text1"/>
          <w:sz w:val="22"/>
          <w:szCs w:val="22"/>
        </w:rPr>
        <w:t xml:space="preserve">bioelectronic medical </w:t>
      </w:r>
      <w:r w:rsidRPr="00C020ED">
        <w:rPr>
          <w:rFonts w:ascii="Calibri" w:eastAsia="Calibri" w:hAnsi="Calibri" w:cs="Calibri"/>
          <w:color w:val="000000" w:themeColor="text1"/>
          <w:sz w:val="22"/>
          <w:szCs w:val="22"/>
        </w:rPr>
        <w:t>device in treating refractory RA patients</w:t>
      </w:r>
      <w:r w:rsidR="0038123E" w:rsidRPr="00C020ED">
        <w:rPr>
          <w:rFonts w:ascii="Calibri" w:eastAsia="Calibri" w:hAnsi="Calibri" w:cs="Calibri"/>
          <w:color w:val="000000" w:themeColor="text1"/>
          <w:sz w:val="22"/>
          <w:szCs w:val="22"/>
        </w:rPr>
        <w:t xml:space="preserve">. </w:t>
      </w:r>
      <w:r w:rsidR="00A54266" w:rsidRPr="00C020ED">
        <w:rPr>
          <w:rFonts w:ascii="Calibri" w:eastAsia="Calibri" w:hAnsi="Calibri" w:cs="Calibri"/>
          <w:color w:val="000000" w:themeColor="text1"/>
          <w:sz w:val="22"/>
          <w:szCs w:val="22"/>
        </w:rPr>
        <w:t>The proof-of-concept study evaluating 17 patients showed VNS treatment resulted in significant and clinically meaningful improvement in disease signs, symptoms, and biomarkers</w:t>
      </w:r>
      <w:r w:rsidR="0071666C" w:rsidRPr="00C020ED">
        <w:rPr>
          <w:rFonts w:ascii="Calibri" w:eastAsia="Calibri" w:hAnsi="Calibri" w:cs="Calibri"/>
          <w:color w:val="000000" w:themeColor="text1"/>
          <w:sz w:val="22"/>
          <w:szCs w:val="22"/>
        </w:rPr>
        <w:t xml:space="preserve">; </w:t>
      </w:r>
      <w:hyperlink r:id="rId10" w:history="1">
        <w:r w:rsidR="005F799A" w:rsidRPr="00C020ED">
          <w:rPr>
            <w:rStyle w:val="Hyperlink"/>
            <w:rFonts w:ascii="Calibri" w:eastAsia="Calibri" w:hAnsi="Calibri" w:cs="Calibri"/>
            <w:color w:val="000000" w:themeColor="text1"/>
            <w:sz w:val="22"/>
            <w:szCs w:val="22"/>
          </w:rPr>
          <w:t>the 3-month results were published in the Proceedings of the National Academy of Sciences (PNAS)</w:t>
        </w:r>
      </w:hyperlink>
      <w:r w:rsidR="0071666C" w:rsidRPr="00C020ED">
        <w:rPr>
          <w:rFonts w:ascii="Calibri" w:eastAsia="Calibri" w:hAnsi="Calibri" w:cs="Calibri"/>
          <w:color w:val="000000" w:themeColor="text1"/>
          <w:sz w:val="22"/>
          <w:szCs w:val="22"/>
        </w:rPr>
        <w:t xml:space="preserve">. Given these results, SetPoint developed its proprietary miniaturized </w:t>
      </w:r>
      <w:r w:rsidR="00D44DA7" w:rsidRPr="00C020ED">
        <w:rPr>
          <w:rFonts w:ascii="Calibri" w:eastAsia="Calibri" w:hAnsi="Calibri" w:cs="Calibri"/>
          <w:color w:val="000000" w:themeColor="text1"/>
          <w:sz w:val="22"/>
          <w:szCs w:val="22"/>
        </w:rPr>
        <w:t xml:space="preserve">integrated </w:t>
      </w:r>
      <w:r w:rsidR="0071666C" w:rsidRPr="00C020ED">
        <w:rPr>
          <w:rFonts w:ascii="Calibri" w:eastAsia="Calibri" w:hAnsi="Calibri" w:cs="Calibri"/>
          <w:color w:val="000000" w:themeColor="text1"/>
          <w:sz w:val="22"/>
          <w:szCs w:val="22"/>
        </w:rPr>
        <w:t xml:space="preserve">device, which is implanted on the </w:t>
      </w:r>
      <w:proofErr w:type="spellStart"/>
      <w:r w:rsidR="0071666C" w:rsidRPr="00C020ED">
        <w:rPr>
          <w:rFonts w:ascii="Calibri" w:eastAsia="Calibri" w:hAnsi="Calibri" w:cs="Calibri"/>
          <w:color w:val="000000" w:themeColor="text1"/>
          <w:sz w:val="22"/>
          <w:szCs w:val="22"/>
        </w:rPr>
        <w:t>vagus</w:t>
      </w:r>
      <w:proofErr w:type="spellEnd"/>
      <w:r w:rsidR="0071666C" w:rsidRPr="00C020ED">
        <w:rPr>
          <w:rFonts w:ascii="Calibri" w:eastAsia="Calibri" w:hAnsi="Calibri" w:cs="Calibri"/>
          <w:color w:val="000000" w:themeColor="text1"/>
          <w:sz w:val="22"/>
          <w:szCs w:val="22"/>
        </w:rPr>
        <w:t xml:space="preserve"> nerve to deliver digital doses to activate the innate inflammatory reflex to produce a systemic anti-inflammatory effect and help regulate the immune system. </w:t>
      </w:r>
      <w:r w:rsidR="00A54266" w:rsidRPr="00C020ED">
        <w:rPr>
          <w:rFonts w:ascii="Calibri" w:eastAsia="Calibri" w:hAnsi="Calibri" w:cs="Calibri"/>
          <w:color w:val="000000" w:themeColor="text1"/>
          <w:sz w:val="22"/>
          <w:szCs w:val="22"/>
        </w:rPr>
        <w:t>The U.S. pilot study</w:t>
      </w:r>
      <w:r w:rsidR="0071666C" w:rsidRPr="00C020ED">
        <w:rPr>
          <w:rFonts w:ascii="Calibri" w:eastAsia="Calibri" w:hAnsi="Calibri" w:cs="Calibri"/>
          <w:color w:val="000000" w:themeColor="text1"/>
          <w:sz w:val="22"/>
          <w:szCs w:val="22"/>
        </w:rPr>
        <w:t xml:space="preserve"> has completed enrollment of 14 subjects who had failed or were intolerant to multiple, mechanistically different, biologic therapies. </w:t>
      </w:r>
      <w:r w:rsidR="00054E87" w:rsidRPr="00C020ED">
        <w:rPr>
          <w:rFonts w:ascii="Calibri" w:eastAsia="Calibri" w:hAnsi="Calibri" w:cs="Calibri"/>
          <w:color w:val="000000" w:themeColor="text1"/>
          <w:sz w:val="22"/>
          <w:szCs w:val="22"/>
        </w:rPr>
        <w:t>E</w:t>
      </w:r>
      <w:r w:rsidR="0071666C" w:rsidRPr="00C020ED">
        <w:rPr>
          <w:rFonts w:ascii="Calibri" w:eastAsia="Calibri" w:hAnsi="Calibri" w:cs="Calibri"/>
          <w:color w:val="000000" w:themeColor="text1"/>
          <w:sz w:val="22"/>
          <w:szCs w:val="22"/>
        </w:rPr>
        <w:t xml:space="preserve">ndpoints </w:t>
      </w:r>
      <w:r w:rsidR="00A127FA" w:rsidRPr="00C020ED">
        <w:rPr>
          <w:rFonts w:ascii="Calibri" w:eastAsia="Calibri" w:hAnsi="Calibri" w:cs="Calibri"/>
          <w:color w:val="000000" w:themeColor="text1"/>
          <w:sz w:val="22"/>
          <w:szCs w:val="22"/>
        </w:rPr>
        <w:t xml:space="preserve">of the U.S. study include standard RA clinical disease measures as well as quantitative MRI joint scoring, validated RA-specific biomarker panels, autonomic balance measurements, and immune cell bioassays. </w:t>
      </w:r>
      <w:r w:rsidR="00054E87" w:rsidRPr="00C020ED">
        <w:rPr>
          <w:rFonts w:ascii="Calibri" w:eastAsia="Calibri" w:hAnsi="Calibri" w:cs="Calibri"/>
          <w:color w:val="000000" w:themeColor="text1"/>
          <w:sz w:val="22"/>
          <w:szCs w:val="22"/>
        </w:rPr>
        <w:t>Bioelectronic medicine has the potential to offer rh</w:t>
      </w:r>
      <w:r w:rsidR="00A127FA" w:rsidRPr="00C020ED">
        <w:rPr>
          <w:rFonts w:ascii="Calibri" w:eastAsia="Calibri" w:hAnsi="Calibri" w:cs="Calibri"/>
          <w:color w:val="000000" w:themeColor="text1"/>
          <w:sz w:val="22"/>
          <w:szCs w:val="22"/>
        </w:rPr>
        <w:t>eumatologists a novel alternative means to treat RA, including those patients who have failed conventional treatments.</w:t>
      </w:r>
      <w:r w:rsidR="0054779D" w:rsidRPr="00C020ED">
        <w:rPr>
          <w:rFonts w:ascii="Calibri" w:eastAsia="Calibri" w:hAnsi="Calibri" w:cs="Calibri"/>
          <w:color w:val="000000" w:themeColor="text1"/>
          <w:sz w:val="22"/>
          <w:szCs w:val="22"/>
        </w:rPr>
        <w:t xml:space="preserve"> </w:t>
      </w:r>
      <w:r w:rsidR="0038123E" w:rsidRPr="00C020ED">
        <w:rPr>
          <w:rFonts w:ascii="Calibri" w:eastAsia="Calibri" w:hAnsi="Calibri" w:cs="Calibri"/>
          <w:color w:val="000000" w:themeColor="text1"/>
          <w:sz w:val="22"/>
          <w:szCs w:val="22"/>
        </w:rPr>
        <w:t xml:space="preserve"> </w:t>
      </w:r>
    </w:p>
    <w:p w14:paraId="6DF4A951" w14:textId="19B37410" w:rsidR="00E9309C" w:rsidRPr="00C020ED" w:rsidRDefault="00E9309C" w:rsidP="003E0E71">
      <w:pPr>
        <w:pStyle w:val="BodyB"/>
        <w:jc w:val="both"/>
        <w:rPr>
          <w:rStyle w:val="NoneA"/>
          <w:rFonts w:ascii="Calibri" w:eastAsia="Calibri" w:hAnsi="Calibri" w:cs="Calibri"/>
          <w:color w:val="000000" w:themeColor="text1"/>
          <w:sz w:val="22"/>
          <w:szCs w:val="22"/>
        </w:rPr>
      </w:pPr>
    </w:p>
    <w:p w14:paraId="32021C1A" w14:textId="6E3BCB2E" w:rsidR="00BE1D5D" w:rsidRPr="00C020ED" w:rsidRDefault="00BE1D5D" w:rsidP="00BE1D5D">
      <w:pPr>
        <w:pStyle w:val="BodyB"/>
        <w:jc w:val="both"/>
        <w:rPr>
          <w:rFonts w:ascii="Calibri" w:eastAsia="Calibri" w:hAnsi="Calibri" w:cs="Calibri"/>
          <w:b/>
          <w:color w:val="000000" w:themeColor="text1"/>
          <w:sz w:val="22"/>
          <w:szCs w:val="22"/>
        </w:rPr>
      </w:pPr>
      <w:proofErr w:type="spellStart"/>
      <w:r w:rsidRPr="00C020ED">
        <w:rPr>
          <w:rFonts w:ascii="Calibri" w:eastAsia="Calibri" w:hAnsi="Calibri" w:cs="Calibri"/>
          <w:b/>
          <w:color w:val="000000" w:themeColor="text1"/>
          <w:sz w:val="22"/>
          <w:szCs w:val="22"/>
        </w:rPr>
        <w:t>Vagus</w:t>
      </w:r>
      <w:proofErr w:type="spellEnd"/>
      <w:r w:rsidRPr="00C020ED">
        <w:rPr>
          <w:rFonts w:ascii="Calibri" w:eastAsia="Calibri" w:hAnsi="Calibri" w:cs="Calibri"/>
          <w:b/>
          <w:color w:val="000000" w:themeColor="text1"/>
          <w:sz w:val="22"/>
          <w:szCs w:val="22"/>
        </w:rPr>
        <w:t xml:space="preserve"> Nerve Stimulation in Patients with Rheumatoid Arthritis: 24 Month Safety and Efficacy</w:t>
      </w:r>
    </w:p>
    <w:p w14:paraId="15FCD3E9" w14:textId="57824711"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Session Title:</w:t>
      </w:r>
      <w:r w:rsidRPr="00C020ED">
        <w:rPr>
          <w:rFonts w:ascii="Calibri" w:eastAsia="Calibri" w:hAnsi="Calibri" w:cs="Calibri"/>
          <w:color w:val="000000" w:themeColor="text1"/>
          <w:sz w:val="22"/>
          <w:szCs w:val="22"/>
        </w:rPr>
        <w:tab/>
        <w:t>Rheumatoid Arthritis – Treatments Poster III: Biosimilars and New Compounds</w:t>
      </w:r>
    </w:p>
    <w:p w14:paraId="1F5A498B" w14:textId="4D443EDF"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 xml:space="preserve">Location: </w:t>
      </w:r>
      <w:r w:rsidRPr="00C020ED">
        <w:rPr>
          <w:rFonts w:ascii="Calibri" w:eastAsia="Calibri" w:hAnsi="Calibri" w:cs="Calibri"/>
          <w:color w:val="000000" w:themeColor="text1"/>
          <w:sz w:val="22"/>
          <w:szCs w:val="22"/>
        </w:rPr>
        <w:tab/>
        <w:t>Poster Session C, Poster #73405</w:t>
      </w:r>
    </w:p>
    <w:p w14:paraId="65C4204D" w14:textId="6F5CCDC9" w:rsidR="00BE1D5D" w:rsidRPr="00C020ED" w:rsidRDefault="00BE1D5D" w:rsidP="00BE1D5D">
      <w:pPr>
        <w:pStyle w:val="BodyB"/>
        <w:jc w:val="both"/>
        <w:rPr>
          <w:rFonts w:ascii="Calibri" w:eastAsia="Calibri" w:hAnsi="Calibri" w:cs="Calibri"/>
          <w:color w:val="000000" w:themeColor="text1"/>
          <w:sz w:val="22"/>
          <w:szCs w:val="22"/>
        </w:rPr>
      </w:pPr>
      <w:r w:rsidRPr="00C020ED">
        <w:rPr>
          <w:rFonts w:ascii="Calibri" w:eastAsia="Calibri" w:hAnsi="Calibri" w:cs="Calibri"/>
          <w:color w:val="000000" w:themeColor="text1"/>
          <w:sz w:val="22"/>
          <w:szCs w:val="22"/>
        </w:rPr>
        <w:t xml:space="preserve">Date: </w:t>
      </w:r>
      <w:r w:rsidRPr="00C020ED">
        <w:rPr>
          <w:rFonts w:ascii="Calibri" w:eastAsia="Calibri" w:hAnsi="Calibri" w:cs="Calibri"/>
          <w:color w:val="000000" w:themeColor="text1"/>
          <w:sz w:val="22"/>
          <w:szCs w:val="22"/>
        </w:rPr>
        <w:tab/>
      </w:r>
      <w:r w:rsidR="00054E87" w:rsidRPr="00C020ED">
        <w:rPr>
          <w:rFonts w:ascii="Calibri" w:eastAsia="Calibri" w:hAnsi="Calibri" w:cs="Calibri"/>
          <w:color w:val="000000" w:themeColor="text1"/>
          <w:sz w:val="22"/>
          <w:szCs w:val="22"/>
        </w:rPr>
        <w:tab/>
      </w:r>
      <w:r w:rsidRPr="00C020ED">
        <w:rPr>
          <w:rFonts w:ascii="Calibri" w:eastAsia="Calibri" w:hAnsi="Calibri" w:cs="Calibri"/>
          <w:color w:val="000000" w:themeColor="text1"/>
          <w:sz w:val="22"/>
          <w:szCs w:val="22"/>
        </w:rPr>
        <w:t>Tuesday, October 23; 9:00-11:00 a.m. CDT</w:t>
      </w:r>
    </w:p>
    <w:p w14:paraId="468D339E" w14:textId="77777777" w:rsidR="00BE1D5D" w:rsidRPr="00C020ED" w:rsidRDefault="00BE1D5D" w:rsidP="003E0E71">
      <w:pPr>
        <w:pStyle w:val="BodyB"/>
        <w:jc w:val="both"/>
        <w:rPr>
          <w:rStyle w:val="NoneA"/>
          <w:rFonts w:ascii="Calibri" w:eastAsia="Calibri" w:hAnsi="Calibri" w:cs="Calibri"/>
          <w:color w:val="000000" w:themeColor="text1"/>
          <w:sz w:val="22"/>
          <w:szCs w:val="22"/>
        </w:rPr>
      </w:pPr>
    </w:p>
    <w:p w14:paraId="7ADA18D9" w14:textId="76F310DE" w:rsidR="00383679" w:rsidRPr="00C020ED" w:rsidRDefault="000D7B5F" w:rsidP="00383679">
      <w:pPr>
        <w:pStyle w:val="BodyB"/>
        <w:jc w:val="both"/>
        <w:rPr>
          <w:rStyle w:val="NoneA"/>
          <w:rFonts w:ascii="Calibri" w:eastAsia="Calibri" w:hAnsi="Calibri" w:cs="Calibri"/>
          <w:color w:val="000000" w:themeColor="text1"/>
          <w:sz w:val="22"/>
          <w:szCs w:val="22"/>
        </w:rPr>
      </w:pPr>
      <w:r w:rsidRPr="00C020ED">
        <w:rPr>
          <w:rStyle w:val="NoneA"/>
          <w:rFonts w:ascii="Calibri" w:eastAsia="Calibri" w:hAnsi="Calibri" w:cs="Calibri"/>
          <w:color w:val="000000" w:themeColor="text1"/>
          <w:sz w:val="22"/>
          <w:szCs w:val="22"/>
        </w:rPr>
        <w:t xml:space="preserve">The </w:t>
      </w:r>
      <w:r w:rsidR="00F24966" w:rsidRPr="00C020ED">
        <w:rPr>
          <w:rStyle w:val="NoneA"/>
          <w:rFonts w:ascii="Calibri" w:eastAsia="Calibri" w:hAnsi="Calibri" w:cs="Calibri"/>
          <w:color w:val="000000" w:themeColor="text1"/>
          <w:sz w:val="22"/>
          <w:szCs w:val="22"/>
        </w:rPr>
        <w:t>poster</w:t>
      </w:r>
      <w:r w:rsidR="00BE1D5D" w:rsidRPr="00C020ED">
        <w:rPr>
          <w:rStyle w:val="NoneA"/>
          <w:rFonts w:ascii="Calibri" w:eastAsia="Calibri" w:hAnsi="Calibri" w:cs="Calibri"/>
          <w:color w:val="000000" w:themeColor="text1"/>
          <w:sz w:val="22"/>
          <w:szCs w:val="22"/>
        </w:rPr>
        <w:t xml:space="preserve"> </w:t>
      </w:r>
      <w:r w:rsidR="00054E87" w:rsidRPr="00C020ED">
        <w:rPr>
          <w:rStyle w:val="NoneA"/>
          <w:rFonts w:ascii="Calibri" w:eastAsia="Calibri" w:hAnsi="Calibri" w:cs="Calibri"/>
          <w:color w:val="000000" w:themeColor="text1"/>
          <w:sz w:val="22"/>
          <w:szCs w:val="22"/>
        </w:rPr>
        <w:t xml:space="preserve">reports 24-month follow-up </w:t>
      </w:r>
      <w:r w:rsidR="00383679" w:rsidRPr="00C020ED">
        <w:rPr>
          <w:rStyle w:val="NoneA"/>
          <w:rFonts w:ascii="Calibri" w:eastAsia="Calibri" w:hAnsi="Calibri" w:cs="Calibri"/>
          <w:color w:val="000000" w:themeColor="text1"/>
          <w:sz w:val="22"/>
          <w:szCs w:val="22"/>
        </w:rPr>
        <w:t xml:space="preserve">long-term </w:t>
      </w:r>
      <w:r w:rsidR="00054E87" w:rsidRPr="00C020ED">
        <w:rPr>
          <w:rStyle w:val="NoneA"/>
          <w:rFonts w:ascii="Calibri" w:eastAsia="Calibri" w:hAnsi="Calibri" w:cs="Calibri"/>
          <w:color w:val="000000" w:themeColor="text1"/>
          <w:sz w:val="22"/>
          <w:szCs w:val="22"/>
        </w:rPr>
        <w:t xml:space="preserve">safety and efficacy results from the proof-of-concept EU study evaluating </w:t>
      </w:r>
      <w:r w:rsidR="005F799A" w:rsidRPr="00C020ED">
        <w:rPr>
          <w:rStyle w:val="NoneA"/>
          <w:rFonts w:ascii="Calibri" w:eastAsia="Calibri" w:hAnsi="Calibri" w:cs="Calibri"/>
          <w:color w:val="000000" w:themeColor="text1"/>
          <w:sz w:val="22"/>
          <w:szCs w:val="22"/>
        </w:rPr>
        <w:t>a</w:t>
      </w:r>
      <w:r w:rsidR="00054E87" w:rsidRPr="00C020ED">
        <w:rPr>
          <w:rFonts w:ascii="Calibri" w:eastAsia="Calibri" w:hAnsi="Calibri" w:cs="Calibri"/>
          <w:color w:val="000000" w:themeColor="text1"/>
          <w:sz w:val="22"/>
          <w:szCs w:val="22"/>
        </w:rPr>
        <w:t xml:space="preserve"> VNS device to treat RA</w:t>
      </w:r>
      <w:r w:rsidR="00383679" w:rsidRPr="00C020ED">
        <w:rPr>
          <w:rFonts w:ascii="Calibri" w:eastAsia="Calibri" w:hAnsi="Calibri" w:cs="Calibri"/>
          <w:color w:val="000000" w:themeColor="text1"/>
          <w:sz w:val="22"/>
          <w:szCs w:val="22"/>
        </w:rPr>
        <w:t xml:space="preserve">, as outlined in </w:t>
      </w:r>
      <w:r w:rsidR="00054E87" w:rsidRPr="00C020ED">
        <w:rPr>
          <w:rFonts w:ascii="Calibri" w:eastAsia="Calibri" w:hAnsi="Calibri" w:cs="Calibri"/>
          <w:color w:val="000000" w:themeColor="text1"/>
          <w:sz w:val="22"/>
          <w:szCs w:val="22"/>
        </w:rPr>
        <w:t xml:space="preserve">Poster #72161. </w:t>
      </w:r>
      <w:r w:rsidR="00054E87" w:rsidRPr="00C020ED">
        <w:rPr>
          <w:rStyle w:val="NoneA"/>
          <w:rFonts w:ascii="Calibri" w:eastAsia="Calibri" w:hAnsi="Calibri" w:cs="Calibri"/>
          <w:color w:val="000000" w:themeColor="text1"/>
          <w:sz w:val="22"/>
          <w:szCs w:val="22"/>
        </w:rPr>
        <w:t xml:space="preserve">All 17 enrolled subjects elected to continue VNS for the duration of the 24-month follow-up </w:t>
      </w:r>
      <w:r w:rsidR="00383679" w:rsidRPr="00C020ED">
        <w:rPr>
          <w:rStyle w:val="NoneA"/>
          <w:rFonts w:ascii="Calibri" w:eastAsia="Calibri" w:hAnsi="Calibri" w:cs="Calibri"/>
          <w:color w:val="000000" w:themeColor="text1"/>
          <w:sz w:val="22"/>
          <w:szCs w:val="22"/>
        </w:rPr>
        <w:t>and showed significant reduction in RA symptoms and strong therapy adherence.</w:t>
      </w:r>
      <w:r w:rsidR="00394FB7" w:rsidRPr="00C020ED">
        <w:rPr>
          <w:rStyle w:val="NoneA"/>
          <w:rFonts w:ascii="Calibri" w:eastAsia="Calibri" w:hAnsi="Calibri" w:cs="Calibri"/>
          <w:color w:val="000000" w:themeColor="text1"/>
          <w:sz w:val="22"/>
          <w:szCs w:val="22"/>
        </w:rPr>
        <w:t xml:space="preserve"> At 24 months, 87% of the subjects reported </w:t>
      </w:r>
      <w:bookmarkStart w:id="1" w:name="_GoBack"/>
      <w:bookmarkEnd w:id="1"/>
      <w:r w:rsidR="00394FB7" w:rsidRPr="00C020ED">
        <w:rPr>
          <w:rStyle w:val="NoneA"/>
          <w:rFonts w:ascii="Calibri" w:eastAsia="Calibri" w:hAnsi="Calibri" w:cs="Calibri"/>
          <w:color w:val="000000" w:themeColor="text1"/>
          <w:sz w:val="22"/>
          <w:szCs w:val="22"/>
        </w:rPr>
        <w:t xml:space="preserve">clinically meaningful responses by standard EULAR criteria, demonstrating that bioelectronic medicine has the potential to substantially reduce both clinical RA disease activity and patient disability for two years, with no unexpected safety issues. These improvements were maintained in patients with and without concurrent use of biologic agents. </w:t>
      </w:r>
      <w:r w:rsidR="00DF627F" w:rsidRPr="00C020ED">
        <w:rPr>
          <w:rStyle w:val="NoneA"/>
          <w:rFonts w:ascii="Calibri" w:eastAsia="Calibri" w:hAnsi="Calibri" w:cs="Calibri"/>
          <w:color w:val="000000" w:themeColor="text1"/>
          <w:sz w:val="22"/>
          <w:szCs w:val="22"/>
        </w:rPr>
        <w:t>The</w:t>
      </w:r>
      <w:r w:rsidR="00394FB7" w:rsidRPr="00C020ED">
        <w:rPr>
          <w:rStyle w:val="NoneA"/>
          <w:rFonts w:ascii="Calibri" w:eastAsia="Calibri" w:hAnsi="Calibri" w:cs="Calibri"/>
          <w:color w:val="000000" w:themeColor="text1"/>
          <w:sz w:val="22"/>
          <w:szCs w:val="22"/>
        </w:rPr>
        <w:t>se</w:t>
      </w:r>
      <w:r w:rsidR="00DF627F" w:rsidRPr="00C020ED">
        <w:rPr>
          <w:rStyle w:val="NoneA"/>
          <w:rFonts w:ascii="Calibri" w:eastAsia="Calibri" w:hAnsi="Calibri" w:cs="Calibri"/>
          <w:color w:val="000000" w:themeColor="text1"/>
          <w:sz w:val="22"/>
          <w:szCs w:val="22"/>
        </w:rPr>
        <w:t xml:space="preserve"> long-term data</w:t>
      </w:r>
      <w:r w:rsidR="00394FB7" w:rsidRPr="00C020ED">
        <w:rPr>
          <w:rStyle w:val="NoneA"/>
          <w:rFonts w:ascii="Calibri" w:eastAsia="Calibri" w:hAnsi="Calibri" w:cs="Calibri"/>
          <w:color w:val="000000" w:themeColor="text1"/>
          <w:sz w:val="22"/>
          <w:szCs w:val="22"/>
        </w:rPr>
        <w:t xml:space="preserve">, </w:t>
      </w:r>
      <w:hyperlink r:id="rId11" w:history="1">
        <w:r w:rsidR="00394FB7" w:rsidRPr="00C020ED">
          <w:rPr>
            <w:rStyle w:val="Hyperlink"/>
            <w:rFonts w:ascii="Calibri" w:eastAsia="Calibri" w:hAnsi="Calibri" w:cs="Calibri"/>
            <w:color w:val="000000" w:themeColor="text1"/>
            <w:sz w:val="22"/>
            <w:szCs w:val="22"/>
          </w:rPr>
          <w:t>initially presented in June 2018</w:t>
        </w:r>
      </w:hyperlink>
      <w:r w:rsidR="00394FB7" w:rsidRPr="00C020ED">
        <w:rPr>
          <w:rStyle w:val="NoneA"/>
          <w:rFonts w:ascii="Calibri" w:eastAsia="Calibri" w:hAnsi="Calibri" w:cs="Calibri"/>
          <w:color w:val="000000" w:themeColor="text1"/>
          <w:sz w:val="22"/>
          <w:szCs w:val="22"/>
        </w:rPr>
        <w:t>,</w:t>
      </w:r>
      <w:r w:rsidR="00DF627F" w:rsidRPr="00C020ED">
        <w:rPr>
          <w:rStyle w:val="NoneA"/>
          <w:rFonts w:ascii="Calibri" w:eastAsia="Calibri" w:hAnsi="Calibri" w:cs="Calibri"/>
          <w:color w:val="000000" w:themeColor="text1"/>
          <w:sz w:val="22"/>
          <w:szCs w:val="22"/>
        </w:rPr>
        <w:t xml:space="preserve"> further support </w:t>
      </w:r>
      <w:proofErr w:type="spellStart"/>
      <w:r w:rsidR="005F799A" w:rsidRPr="00C020ED">
        <w:rPr>
          <w:rStyle w:val="NoneA"/>
          <w:rFonts w:ascii="Calibri" w:eastAsia="Calibri" w:hAnsi="Calibri" w:cs="Calibri"/>
          <w:color w:val="000000" w:themeColor="text1"/>
          <w:sz w:val="22"/>
          <w:szCs w:val="22"/>
        </w:rPr>
        <w:t>SetPoint’s</w:t>
      </w:r>
      <w:proofErr w:type="spellEnd"/>
      <w:r w:rsidR="00DF627F" w:rsidRPr="00C020ED">
        <w:rPr>
          <w:rStyle w:val="NoneA"/>
          <w:rFonts w:ascii="Calibri" w:eastAsia="Calibri" w:hAnsi="Calibri" w:cs="Calibri"/>
          <w:color w:val="000000" w:themeColor="text1"/>
          <w:sz w:val="22"/>
          <w:szCs w:val="22"/>
        </w:rPr>
        <w:t xml:space="preserve"> ongoing U.S. </w:t>
      </w:r>
      <w:r w:rsidR="00383679" w:rsidRPr="00C020ED">
        <w:rPr>
          <w:rStyle w:val="NoneA"/>
          <w:rFonts w:ascii="Calibri" w:eastAsia="Calibri" w:hAnsi="Calibri" w:cs="Calibri"/>
          <w:color w:val="000000" w:themeColor="text1"/>
          <w:sz w:val="22"/>
          <w:szCs w:val="22"/>
        </w:rPr>
        <w:t xml:space="preserve">prospective double-blinded and controlled </w:t>
      </w:r>
      <w:r w:rsidR="00DF627F" w:rsidRPr="00C020ED">
        <w:rPr>
          <w:rStyle w:val="NoneA"/>
          <w:rFonts w:ascii="Calibri" w:eastAsia="Calibri" w:hAnsi="Calibri" w:cs="Calibri"/>
          <w:color w:val="000000" w:themeColor="text1"/>
          <w:sz w:val="22"/>
          <w:szCs w:val="22"/>
        </w:rPr>
        <w:t xml:space="preserve">pilot IDE </w:t>
      </w:r>
      <w:r w:rsidR="00383679" w:rsidRPr="00C020ED">
        <w:rPr>
          <w:rStyle w:val="NoneA"/>
          <w:rFonts w:ascii="Calibri" w:eastAsia="Calibri" w:hAnsi="Calibri" w:cs="Calibri"/>
          <w:color w:val="000000" w:themeColor="text1"/>
          <w:sz w:val="22"/>
          <w:szCs w:val="22"/>
        </w:rPr>
        <w:t>study in</w:t>
      </w:r>
      <w:r w:rsidR="00DF627F" w:rsidRPr="00C020ED">
        <w:rPr>
          <w:rStyle w:val="NoneA"/>
          <w:rFonts w:ascii="Calibri" w:eastAsia="Calibri" w:hAnsi="Calibri" w:cs="Calibri"/>
          <w:color w:val="000000" w:themeColor="text1"/>
          <w:sz w:val="22"/>
          <w:szCs w:val="22"/>
        </w:rPr>
        <w:t xml:space="preserve"> </w:t>
      </w:r>
      <w:r w:rsidR="00383679" w:rsidRPr="00C020ED">
        <w:rPr>
          <w:rStyle w:val="NoneA"/>
          <w:rFonts w:ascii="Calibri" w:eastAsia="Calibri" w:hAnsi="Calibri" w:cs="Calibri"/>
          <w:color w:val="000000" w:themeColor="text1"/>
          <w:sz w:val="22"/>
          <w:szCs w:val="22"/>
        </w:rPr>
        <w:t>RA patients.</w:t>
      </w:r>
      <w:r w:rsidR="00233AEF" w:rsidRPr="00C020ED">
        <w:rPr>
          <w:rStyle w:val="NoneA"/>
          <w:rFonts w:ascii="Calibri" w:eastAsia="Calibri" w:hAnsi="Calibri" w:cs="Calibri"/>
          <w:color w:val="000000" w:themeColor="text1"/>
          <w:sz w:val="22"/>
          <w:szCs w:val="22"/>
        </w:rPr>
        <w:t xml:space="preserve"> </w:t>
      </w:r>
    </w:p>
    <w:p w14:paraId="5BB983D7" w14:textId="77777777" w:rsidR="00054E87" w:rsidRPr="00C020ED" w:rsidRDefault="00054E87" w:rsidP="003E0E71">
      <w:pPr>
        <w:pStyle w:val="BodyB"/>
        <w:jc w:val="both"/>
        <w:rPr>
          <w:rStyle w:val="NoneA"/>
          <w:rFonts w:ascii="Calibri" w:eastAsia="Calibri" w:hAnsi="Calibri" w:cs="Calibri"/>
          <w:color w:val="000000" w:themeColor="text1"/>
          <w:sz w:val="22"/>
          <w:szCs w:val="22"/>
        </w:rPr>
      </w:pPr>
    </w:p>
    <w:p w14:paraId="03B5352E" w14:textId="77777777" w:rsidR="00CC1504" w:rsidRPr="00C020ED" w:rsidRDefault="00C43EB5"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b/>
          <w:bCs/>
          <w:color w:val="000000" w:themeColor="text1"/>
        </w:rPr>
      </w:pPr>
      <w:r w:rsidRPr="00C020ED">
        <w:rPr>
          <w:rStyle w:val="NoneA"/>
          <w:b/>
          <w:bCs/>
          <w:color w:val="000000" w:themeColor="text1"/>
        </w:rPr>
        <w:t>About SetPoint Medical</w:t>
      </w:r>
    </w:p>
    <w:p w14:paraId="59C5E82C" w14:textId="77777777" w:rsidR="00F4735B" w:rsidRPr="00C020ED" w:rsidRDefault="00F4735B" w:rsidP="003E0E7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u w:color="162FD4"/>
        </w:rPr>
      </w:pPr>
      <w:r w:rsidRPr="00C020ED">
        <w:rPr>
          <w:color w:val="000000" w:themeColor="text1"/>
          <w:u w:color="162FD4"/>
        </w:rPr>
        <w:t xml:space="preserve">SetPoint Medical is a privately held clinical-stage bioelectronic medicine company dedicated to treating patients with chronic autoimmune diseases. SetPoint Medical’s bioelectronic medicine platform is intended to offer patients and providers a treatment alternative for rheumatoid arthritis, Crohn’s disease and other chronic autoimmune conditions with potentially less risk and cost than drug therapy. The company is developing a novel bioelectronic medicine platform that stimulates the </w:t>
      </w:r>
      <w:proofErr w:type="spellStart"/>
      <w:r w:rsidRPr="00C020ED">
        <w:rPr>
          <w:color w:val="000000" w:themeColor="text1"/>
          <w:u w:color="162FD4"/>
        </w:rPr>
        <w:t>vagus</w:t>
      </w:r>
      <w:proofErr w:type="spellEnd"/>
      <w:r w:rsidRPr="00C020ED">
        <w:rPr>
          <w:color w:val="000000" w:themeColor="text1"/>
          <w:u w:color="162FD4"/>
        </w:rPr>
        <w:t xml:space="preserve"> nerve to activate the inflammatory reflex to produce a systemic immune-restorative effect. Current investors in the company include New Enterprise Associates (NEA), </w:t>
      </w:r>
      <w:proofErr w:type="spellStart"/>
      <w:r w:rsidRPr="00C020ED">
        <w:rPr>
          <w:color w:val="000000" w:themeColor="text1"/>
          <w:u w:color="162FD4"/>
        </w:rPr>
        <w:t>Morgenthaler</w:t>
      </w:r>
      <w:proofErr w:type="spellEnd"/>
      <w:r w:rsidRPr="00C020ED">
        <w:rPr>
          <w:color w:val="000000" w:themeColor="text1"/>
          <w:u w:color="162FD4"/>
        </w:rPr>
        <w:t xml:space="preserve"> Ventures, Topspin Partners, </w:t>
      </w:r>
      <w:proofErr w:type="spellStart"/>
      <w:r w:rsidRPr="00C020ED">
        <w:rPr>
          <w:color w:val="000000" w:themeColor="text1"/>
          <w:u w:color="162FD4"/>
        </w:rPr>
        <w:t>SightLine</w:t>
      </w:r>
      <w:proofErr w:type="spellEnd"/>
      <w:r w:rsidRPr="00C020ED">
        <w:rPr>
          <w:color w:val="000000" w:themeColor="text1"/>
          <w:u w:color="162FD4"/>
        </w:rPr>
        <w:t xml:space="preserve"> Partners, GlaxoSmithKline’s Action Potential Venture Capital and Boston Scientific as well as an additional undisclosed strategic investor (leading medical device company).  For more information, visit </w:t>
      </w:r>
      <w:hyperlink r:id="rId12" w:history="1">
        <w:r w:rsidR="00B251D1" w:rsidRPr="00C020ED">
          <w:rPr>
            <w:rStyle w:val="Hyperlink"/>
            <w:color w:val="000000" w:themeColor="text1"/>
          </w:rPr>
          <w:t>www.setpointmedical.com</w:t>
        </w:r>
      </w:hyperlink>
      <w:r w:rsidRPr="00C020ED">
        <w:rPr>
          <w:color w:val="000000" w:themeColor="text1"/>
          <w:u w:color="162FD4"/>
        </w:rPr>
        <w:t>.</w:t>
      </w:r>
    </w:p>
    <w:p w14:paraId="1868BE3F" w14:textId="77777777" w:rsidR="00CC1504" w:rsidRPr="00C020ED" w:rsidRDefault="00CC1504" w:rsidP="003E0E71">
      <w:pPr>
        <w:pStyle w:val="BodyA"/>
        <w:rPr>
          <w:color w:val="000000" w:themeColor="text1"/>
        </w:rPr>
      </w:pPr>
    </w:p>
    <w:p w14:paraId="05573DB3" w14:textId="77777777" w:rsidR="00CC1504" w:rsidRPr="00C020ED" w:rsidRDefault="00C43EB5" w:rsidP="003E0E71">
      <w:pPr>
        <w:pStyle w:val="BodyA"/>
        <w:jc w:val="center"/>
        <w:rPr>
          <w:color w:val="000000" w:themeColor="text1"/>
        </w:rPr>
      </w:pPr>
      <w:r w:rsidRPr="00C020ED">
        <w:rPr>
          <w:rStyle w:val="NoneA"/>
          <w:color w:val="000000" w:themeColor="text1"/>
        </w:rPr>
        <w:t>#  #  #</w:t>
      </w:r>
      <w:bookmarkEnd w:id="0"/>
    </w:p>
    <w:sectPr w:rsidR="00CC1504" w:rsidRPr="00C020ED">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71FA" w14:textId="77777777" w:rsidR="00514D87" w:rsidRDefault="00514D87">
      <w:r>
        <w:separator/>
      </w:r>
    </w:p>
  </w:endnote>
  <w:endnote w:type="continuationSeparator" w:id="0">
    <w:p w14:paraId="1365A79A" w14:textId="77777777" w:rsidR="00514D87" w:rsidRDefault="0051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3D5C" w14:textId="77777777" w:rsidR="00514D87" w:rsidRDefault="00514D87">
      <w:r>
        <w:separator/>
      </w:r>
    </w:p>
  </w:footnote>
  <w:footnote w:type="continuationSeparator" w:id="0">
    <w:p w14:paraId="4BA288F8" w14:textId="77777777" w:rsidR="00514D87" w:rsidRDefault="0051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7BB"/>
    <w:multiLevelType w:val="hybridMultilevel"/>
    <w:tmpl w:val="B98CB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5364"/>
    <w:multiLevelType w:val="hybridMultilevel"/>
    <w:tmpl w:val="B98CB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2765"/>
    <w:multiLevelType w:val="hybridMultilevel"/>
    <w:tmpl w:val="FCCC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04"/>
    <w:rsid w:val="000018DD"/>
    <w:rsid w:val="0000368E"/>
    <w:rsid w:val="0001351D"/>
    <w:rsid w:val="00023C96"/>
    <w:rsid w:val="00027224"/>
    <w:rsid w:val="00031A00"/>
    <w:rsid w:val="0003488A"/>
    <w:rsid w:val="0004184F"/>
    <w:rsid w:val="000418AC"/>
    <w:rsid w:val="000469ED"/>
    <w:rsid w:val="00054627"/>
    <w:rsid w:val="00054E87"/>
    <w:rsid w:val="00062BA3"/>
    <w:rsid w:val="00063696"/>
    <w:rsid w:val="00075273"/>
    <w:rsid w:val="000A1F57"/>
    <w:rsid w:val="000A43D5"/>
    <w:rsid w:val="000A66E6"/>
    <w:rsid w:val="000B0E1F"/>
    <w:rsid w:val="000B6B30"/>
    <w:rsid w:val="000C2514"/>
    <w:rsid w:val="000D2095"/>
    <w:rsid w:val="000D79DE"/>
    <w:rsid w:val="000D7B5F"/>
    <w:rsid w:val="000F61F2"/>
    <w:rsid w:val="000F688B"/>
    <w:rsid w:val="00114976"/>
    <w:rsid w:val="00120870"/>
    <w:rsid w:val="00127C7F"/>
    <w:rsid w:val="0013085E"/>
    <w:rsid w:val="00143FA1"/>
    <w:rsid w:val="001658A6"/>
    <w:rsid w:val="00182EF6"/>
    <w:rsid w:val="00183088"/>
    <w:rsid w:val="001858B4"/>
    <w:rsid w:val="00185B10"/>
    <w:rsid w:val="0018625E"/>
    <w:rsid w:val="001938A7"/>
    <w:rsid w:val="001A0932"/>
    <w:rsid w:val="001B472B"/>
    <w:rsid w:val="001B48AA"/>
    <w:rsid w:val="001C357B"/>
    <w:rsid w:val="001C5444"/>
    <w:rsid w:val="001D20AE"/>
    <w:rsid w:val="001D768A"/>
    <w:rsid w:val="001E6D9D"/>
    <w:rsid w:val="001F1F4B"/>
    <w:rsid w:val="001F300C"/>
    <w:rsid w:val="001F5549"/>
    <w:rsid w:val="00201F85"/>
    <w:rsid w:val="002113A5"/>
    <w:rsid w:val="002113EE"/>
    <w:rsid w:val="002136FF"/>
    <w:rsid w:val="002144BA"/>
    <w:rsid w:val="00216167"/>
    <w:rsid w:val="00223B5E"/>
    <w:rsid w:val="00224708"/>
    <w:rsid w:val="002264B5"/>
    <w:rsid w:val="002275F4"/>
    <w:rsid w:val="00233AEF"/>
    <w:rsid w:val="00235C9C"/>
    <w:rsid w:val="0024089C"/>
    <w:rsid w:val="002660F8"/>
    <w:rsid w:val="00276235"/>
    <w:rsid w:val="002810C3"/>
    <w:rsid w:val="00282F95"/>
    <w:rsid w:val="00291073"/>
    <w:rsid w:val="00293EBE"/>
    <w:rsid w:val="00295C34"/>
    <w:rsid w:val="00297DED"/>
    <w:rsid w:val="002A0A34"/>
    <w:rsid w:val="002B2FAD"/>
    <w:rsid w:val="002C1CE5"/>
    <w:rsid w:val="002C21B9"/>
    <w:rsid w:val="002C33E3"/>
    <w:rsid w:val="002C4E72"/>
    <w:rsid w:val="002C6C37"/>
    <w:rsid w:val="002D3F9D"/>
    <w:rsid w:val="002E2CB2"/>
    <w:rsid w:val="002E42F4"/>
    <w:rsid w:val="002E7502"/>
    <w:rsid w:val="002F2F60"/>
    <w:rsid w:val="002F380F"/>
    <w:rsid w:val="002F7058"/>
    <w:rsid w:val="003019AB"/>
    <w:rsid w:val="00305CA1"/>
    <w:rsid w:val="0031655B"/>
    <w:rsid w:val="00322863"/>
    <w:rsid w:val="003234A6"/>
    <w:rsid w:val="00327403"/>
    <w:rsid w:val="00334BC3"/>
    <w:rsid w:val="0034131B"/>
    <w:rsid w:val="00342CF0"/>
    <w:rsid w:val="0037300C"/>
    <w:rsid w:val="00380AE9"/>
    <w:rsid w:val="0038123E"/>
    <w:rsid w:val="00383679"/>
    <w:rsid w:val="00391215"/>
    <w:rsid w:val="00392477"/>
    <w:rsid w:val="00394FB7"/>
    <w:rsid w:val="003966C8"/>
    <w:rsid w:val="00397F23"/>
    <w:rsid w:val="003A4690"/>
    <w:rsid w:val="003A52E3"/>
    <w:rsid w:val="003B6CDC"/>
    <w:rsid w:val="003C419F"/>
    <w:rsid w:val="003D065E"/>
    <w:rsid w:val="003D209A"/>
    <w:rsid w:val="003D31FE"/>
    <w:rsid w:val="003E0070"/>
    <w:rsid w:val="003E0E71"/>
    <w:rsid w:val="003E2C52"/>
    <w:rsid w:val="003E630C"/>
    <w:rsid w:val="003E653B"/>
    <w:rsid w:val="003F25F8"/>
    <w:rsid w:val="003F779C"/>
    <w:rsid w:val="004017DB"/>
    <w:rsid w:val="00404ECB"/>
    <w:rsid w:val="00421238"/>
    <w:rsid w:val="004233CB"/>
    <w:rsid w:val="004275FD"/>
    <w:rsid w:val="004330EC"/>
    <w:rsid w:val="0044000C"/>
    <w:rsid w:val="0044259F"/>
    <w:rsid w:val="004454E0"/>
    <w:rsid w:val="00445AEA"/>
    <w:rsid w:val="00452CD0"/>
    <w:rsid w:val="004634B4"/>
    <w:rsid w:val="004651C3"/>
    <w:rsid w:val="00470938"/>
    <w:rsid w:val="00473933"/>
    <w:rsid w:val="00475815"/>
    <w:rsid w:val="00480744"/>
    <w:rsid w:val="004815CF"/>
    <w:rsid w:val="00485F66"/>
    <w:rsid w:val="00494A2F"/>
    <w:rsid w:val="00494EEC"/>
    <w:rsid w:val="004A0539"/>
    <w:rsid w:val="004A5626"/>
    <w:rsid w:val="004B2996"/>
    <w:rsid w:val="004C59AB"/>
    <w:rsid w:val="004F2FC9"/>
    <w:rsid w:val="004F7BE4"/>
    <w:rsid w:val="0050579E"/>
    <w:rsid w:val="00506900"/>
    <w:rsid w:val="00510843"/>
    <w:rsid w:val="00514ADB"/>
    <w:rsid w:val="00514D87"/>
    <w:rsid w:val="005214C7"/>
    <w:rsid w:val="00521CA3"/>
    <w:rsid w:val="00522D62"/>
    <w:rsid w:val="005249B5"/>
    <w:rsid w:val="005276FB"/>
    <w:rsid w:val="00530D4C"/>
    <w:rsid w:val="00544698"/>
    <w:rsid w:val="0054779D"/>
    <w:rsid w:val="005509F3"/>
    <w:rsid w:val="0055195A"/>
    <w:rsid w:val="00563FEC"/>
    <w:rsid w:val="00566E1B"/>
    <w:rsid w:val="005825C7"/>
    <w:rsid w:val="005846E5"/>
    <w:rsid w:val="005868EA"/>
    <w:rsid w:val="005877FA"/>
    <w:rsid w:val="00592097"/>
    <w:rsid w:val="0059356E"/>
    <w:rsid w:val="005A0D7F"/>
    <w:rsid w:val="005A0DFA"/>
    <w:rsid w:val="005A23F0"/>
    <w:rsid w:val="005A57D8"/>
    <w:rsid w:val="005B3B71"/>
    <w:rsid w:val="005B5A2B"/>
    <w:rsid w:val="005C2728"/>
    <w:rsid w:val="005C2B13"/>
    <w:rsid w:val="005C4FB4"/>
    <w:rsid w:val="005D2A55"/>
    <w:rsid w:val="005D5332"/>
    <w:rsid w:val="005E1661"/>
    <w:rsid w:val="005F2F50"/>
    <w:rsid w:val="005F799A"/>
    <w:rsid w:val="00606653"/>
    <w:rsid w:val="006108F7"/>
    <w:rsid w:val="00621797"/>
    <w:rsid w:val="00621C52"/>
    <w:rsid w:val="0062354C"/>
    <w:rsid w:val="00643AE6"/>
    <w:rsid w:val="00643B0C"/>
    <w:rsid w:val="0064553B"/>
    <w:rsid w:val="00650E98"/>
    <w:rsid w:val="00654C23"/>
    <w:rsid w:val="006628E8"/>
    <w:rsid w:val="006849C6"/>
    <w:rsid w:val="00684E3E"/>
    <w:rsid w:val="00697F23"/>
    <w:rsid w:val="006A7AFF"/>
    <w:rsid w:val="006B0150"/>
    <w:rsid w:val="006B7F9A"/>
    <w:rsid w:val="006C7798"/>
    <w:rsid w:val="006D06EC"/>
    <w:rsid w:val="006D443A"/>
    <w:rsid w:val="006D51E2"/>
    <w:rsid w:val="006E1FC4"/>
    <w:rsid w:val="006E2F20"/>
    <w:rsid w:val="006E480A"/>
    <w:rsid w:val="006F0B91"/>
    <w:rsid w:val="006F4DB6"/>
    <w:rsid w:val="0070299E"/>
    <w:rsid w:val="00702DA0"/>
    <w:rsid w:val="00703B39"/>
    <w:rsid w:val="00714DA9"/>
    <w:rsid w:val="0071666C"/>
    <w:rsid w:val="0072020D"/>
    <w:rsid w:val="00721B40"/>
    <w:rsid w:val="00723E8A"/>
    <w:rsid w:val="007266D3"/>
    <w:rsid w:val="00750811"/>
    <w:rsid w:val="0075269C"/>
    <w:rsid w:val="007566F6"/>
    <w:rsid w:val="00770EF2"/>
    <w:rsid w:val="00771F9E"/>
    <w:rsid w:val="007754CA"/>
    <w:rsid w:val="0077795D"/>
    <w:rsid w:val="00795615"/>
    <w:rsid w:val="007A7BDF"/>
    <w:rsid w:val="007B017E"/>
    <w:rsid w:val="007B67CA"/>
    <w:rsid w:val="007C652A"/>
    <w:rsid w:val="007D7059"/>
    <w:rsid w:val="007D7A0D"/>
    <w:rsid w:val="007E40D4"/>
    <w:rsid w:val="007E5342"/>
    <w:rsid w:val="00800812"/>
    <w:rsid w:val="00811BB0"/>
    <w:rsid w:val="00820E7B"/>
    <w:rsid w:val="0082370C"/>
    <w:rsid w:val="00825A20"/>
    <w:rsid w:val="00832A87"/>
    <w:rsid w:val="00841B89"/>
    <w:rsid w:val="008452D5"/>
    <w:rsid w:val="00864BB8"/>
    <w:rsid w:val="0089514D"/>
    <w:rsid w:val="0089708F"/>
    <w:rsid w:val="008A07EE"/>
    <w:rsid w:val="008A13C1"/>
    <w:rsid w:val="008A3B0C"/>
    <w:rsid w:val="008A4D68"/>
    <w:rsid w:val="008A7D9A"/>
    <w:rsid w:val="008B4B31"/>
    <w:rsid w:val="008C4542"/>
    <w:rsid w:val="008D134C"/>
    <w:rsid w:val="008D1E0A"/>
    <w:rsid w:val="008E4D20"/>
    <w:rsid w:val="008F4DFA"/>
    <w:rsid w:val="008F6D1A"/>
    <w:rsid w:val="00900A95"/>
    <w:rsid w:val="00906250"/>
    <w:rsid w:val="00906727"/>
    <w:rsid w:val="00907EC9"/>
    <w:rsid w:val="009103F3"/>
    <w:rsid w:val="00911B80"/>
    <w:rsid w:val="00920163"/>
    <w:rsid w:val="009235DF"/>
    <w:rsid w:val="00925547"/>
    <w:rsid w:val="0092571E"/>
    <w:rsid w:val="00936663"/>
    <w:rsid w:val="00941A33"/>
    <w:rsid w:val="0094573A"/>
    <w:rsid w:val="0094778B"/>
    <w:rsid w:val="00950561"/>
    <w:rsid w:val="009512D2"/>
    <w:rsid w:val="00972452"/>
    <w:rsid w:val="00973225"/>
    <w:rsid w:val="00974C36"/>
    <w:rsid w:val="00976920"/>
    <w:rsid w:val="009877F8"/>
    <w:rsid w:val="0099641E"/>
    <w:rsid w:val="00997D27"/>
    <w:rsid w:val="00997F81"/>
    <w:rsid w:val="009B011D"/>
    <w:rsid w:val="009B31BE"/>
    <w:rsid w:val="009C3217"/>
    <w:rsid w:val="009C419C"/>
    <w:rsid w:val="009E2943"/>
    <w:rsid w:val="009E64BF"/>
    <w:rsid w:val="009E7558"/>
    <w:rsid w:val="009E7A32"/>
    <w:rsid w:val="009F005A"/>
    <w:rsid w:val="009F05ED"/>
    <w:rsid w:val="00A0058A"/>
    <w:rsid w:val="00A10283"/>
    <w:rsid w:val="00A11B0B"/>
    <w:rsid w:val="00A127FA"/>
    <w:rsid w:val="00A14187"/>
    <w:rsid w:val="00A15B1C"/>
    <w:rsid w:val="00A25B47"/>
    <w:rsid w:val="00A27E9E"/>
    <w:rsid w:val="00A31337"/>
    <w:rsid w:val="00A32B82"/>
    <w:rsid w:val="00A540F9"/>
    <w:rsid w:val="00A54266"/>
    <w:rsid w:val="00A61BBD"/>
    <w:rsid w:val="00A63CF0"/>
    <w:rsid w:val="00A678C4"/>
    <w:rsid w:val="00A81C69"/>
    <w:rsid w:val="00A83A69"/>
    <w:rsid w:val="00A87921"/>
    <w:rsid w:val="00A90756"/>
    <w:rsid w:val="00A922CD"/>
    <w:rsid w:val="00AC5959"/>
    <w:rsid w:val="00AC74CE"/>
    <w:rsid w:val="00AC77D1"/>
    <w:rsid w:val="00AE21CB"/>
    <w:rsid w:val="00AE5D94"/>
    <w:rsid w:val="00AF0C75"/>
    <w:rsid w:val="00B06696"/>
    <w:rsid w:val="00B113CD"/>
    <w:rsid w:val="00B13829"/>
    <w:rsid w:val="00B21990"/>
    <w:rsid w:val="00B2282D"/>
    <w:rsid w:val="00B251D1"/>
    <w:rsid w:val="00B31097"/>
    <w:rsid w:val="00B329CB"/>
    <w:rsid w:val="00B36D18"/>
    <w:rsid w:val="00B429A3"/>
    <w:rsid w:val="00B6487F"/>
    <w:rsid w:val="00B64C60"/>
    <w:rsid w:val="00B651C7"/>
    <w:rsid w:val="00B77A77"/>
    <w:rsid w:val="00B81852"/>
    <w:rsid w:val="00B82757"/>
    <w:rsid w:val="00B83BF1"/>
    <w:rsid w:val="00B86D36"/>
    <w:rsid w:val="00B95769"/>
    <w:rsid w:val="00BC0E39"/>
    <w:rsid w:val="00BC5008"/>
    <w:rsid w:val="00BD78C3"/>
    <w:rsid w:val="00BE1298"/>
    <w:rsid w:val="00BE1D5D"/>
    <w:rsid w:val="00BE2B47"/>
    <w:rsid w:val="00BE6BE1"/>
    <w:rsid w:val="00BF2987"/>
    <w:rsid w:val="00C020ED"/>
    <w:rsid w:val="00C061E2"/>
    <w:rsid w:val="00C107DF"/>
    <w:rsid w:val="00C135F4"/>
    <w:rsid w:val="00C35295"/>
    <w:rsid w:val="00C43EB5"/>
    <w:rsid w:val="00C448B0"/>
    <w:rsid w:val="00C46726"/>
    <w:rsid w:val="00C47961"/>
    <w:rsid w:val="00C479D1"/>
    <w:rsid w:val="00C53707"/>
    <w:rsid w:val="00C57DB7"/>
    <w:rsid w:val="00C653B7"/>
    <w:rsid w:val="00C814FD"/>
    <w:rsid w:val="00C864A2"/>
    <w:rsid w:val="00C97C55"/>
    <w:rsid w:val="00CA4547"/>
    <w:rsid w:val="00CC1504"/>
    <w:rsid w:val="00CC6939"/>
    <w:rsid w:val="00CC6C09"/>
    <w:rsid w:val="00CD19A6"/>
    <w:rsid w:val="00CD7F0B"/>
    <w:rsid w:val="00CE264E"/>
    <w:rsid w:val="00D4312D"/>
    <w:rsid w:val="00D43D7A"/>
    <w:rsid w:val="00D44DA7"/>
    <w:rsid w:val="00D50CD4"/>
    <w:rsid w:val="00D616C2"/>
    <w:rsid w:val="00D64332"/>
    <w:rsid w:val="00D66484"/>
    <w:rsid w:val="00D7789D"/>
    <w:rsid w:val="00D843F5"/>
    <w:rsid w:val="00D91DAB"/>
    <w:rsid w:val="00DB02D9"/>
    <w:rsid w:val="00DB24E8"/>
    <w:rsid w:val="00DB7632"/>
    <w:rsid w:val="00DD512F"/>
    <w:rsid w:val="00DF4246"/>
    <w:rsid w:val="00DF5971"/>
    <w:rsid w:val="00DF627F"/>
    <w:rsid w:val="00E01253"/>
    <w:rsid w:val="00E27468"/>
    <w:rsid w:val="00E40664"/>
    <w:rsid w:val="00E42C90"/>
    <w:rsid w:val="00E45BE8"/>
    <w:rsid w:val="00E51912"/>
    <w:rsid w:val="00E661C6"/>
    <w:rsid w:val="00E74A2C"/>
    <w:rsid w:val="00E862CE"/>
    <w:rsid w:val="00E87CCC"/>
    <w:rsid w:val="00E9309C"/>
    <w:rsid w:val="00E935E9"/>
    <w:rsid w:val="00E941E0"/>
    <w:rsid w:val="00E95B8F"/>
    <w:rsid w:val="00EA49E1"/>
    <w:rsid w:val="00EB4FBE"/>
    <w:rsid w:val="00EB6C6E"/>
    <w:rsid w:val="00EB6F0C"/>
    <w:rsid w:val="00EC288F"/>
    <w:rsid w:val="00EC42C6"/>
    <w:rsid w:val="00EC4B41"/>
    <w:rsid w:val="00EC6332"/>
    <w:rsid w:val="00ED17A9"/>
    <w:rsid w:val="00EE0FB1"/>
    <w:rsid w:val="00EE4C26"/>
    <w:rsid w:val="00EE57F8"/>
    <w:rsid w:val="00EF1BFE"/>
    <w:rsid w:val="00EF3AD1"/>
    <w:rsid w:val="00EF7173"/>
    <w:rsid w:val="00F006BB"/>
    <w:rsid w:val="00F01500"/>
    <w:rsid w:val="00F13434"/>
    <w:rsid w:val="00F14A80"/>
    <w:rsid w:val="00F21ADD"/>
    <w:rsid w:val="00F24966"/>
    <w:rsid w:val="00F3212D"/>
    <w:rsid w:val="00F4214C"/>
    <w:rsid w:val="00F4333A"/>
    <w:rsid w:val="00F4728A"/>
    <w:rsid w:val="00F4735B"/>
    <w:rsid w:val="00F55C43"/>
    <w:rsid w:val="00F64678"/>
    <w:rsid w:val="00F65CC2"/>
    <w:rsid w:val="00F817AF"/>
    <w:rsid w:val="00F81D11"/>
    <w:rsid w:val="00F8317E"/>
    <w:rsid w:val="00F86E9A"/>
    <w:rsid w:val="00F875DD"/>
    <w:rsid w:val="00F93C41"/>
    <w:rsid w:val="00F96FDD"/>
    <w:rsid w:val="00FA1579"/>
    <w:rsid w:val="00FA3203"/>
    <w:rsid w:val="00FA5DF2"/>
    <w:rsid w:val="00FA712E"/>
    <w:rsid w:val="00FB0400"/>
    <w:rsid w:val="00FB1B6E"/>
    <w:rsid w:val="00FB547A"/>
    <w:rsid w:val="00FC032D"/>
    <w:rsid w:val="00FD5511"/>
    <w:rsid w:val="00FD5DF1"/>
    <w:rsid w:val="00FE1586"/>
    <w:rsid w:val="00FE2CDE"/>
    <w:rsid w:val="00FE7023"/>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0EDD"/>
  <w15:docId w15:val="{B7867E4E-3649-8746-A3E0-E504A0D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F321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21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libri" w:eastAsia="Calibri" w:hAnsi="Calibri" w:cs="Calibri"/>
      <w:color w:val="000000"/>
      <w:sz w:val="22"/>
      <w:szCs w:val="22"/>
      <w:u w:color="000000"/>
    </w:rPr>
  </w:style>
  <w:style w:type="character" w:customStyle="1" w:styleId="NoneA">
    <w:name w:val="None A"/>
  </w:style>
  <w:style w:type="paragraph" w:customStyle="1" w:styleId="BodyC">
    <w:name w:val="Body C"/>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character" w:customStyle="1" w:styleId="Hyperlink0">
    <w:name w:val="Hyperlink.0"/>
    <w:basedOn w:val="NoneA"/>
    <w:rPr>
      <w:rFonts w:ascii="Calibri" w:eastAsia="Calibri" w:hAnsi="Calibri" w:cs="Calibri"/>
      <w:color w:val="162FD4"/>
      <w:sz w:val="22"/>
      <w:szCs w:val="22"/>
      <w:u w:val="single" w:color="162FD4"/>
    </w:rPr>
  </w:style>
  <w:style w:type="paragraph" w:customStyle="1" w:styleId="BodyD">
    <w:name w:val="Body D"/>
    <w:rPr>
      <w:rFonts w:cs="Arial Unicode MS"/>
      <w:color w:val="000000"/>
      <w:sz w:val="24"/>
      <w:szCs w:val="24"/>
      <w:u w:color="000000"/>
    </w:rPr>
  </w:style>
  <w:style w:type="paragraph" w:customStyle="1" w:styleId="BodyE">
    <w:name w:val="Body E"/>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NoneA"/>
    <w:rPr>
      <w:rFonts w:ascii="Trebuchet MS" w:eastAsia="Trebuchet MS" w:hAnsi="Trebuchet MS" w:cs="Trebuchet MS"/>
      <w:i/>
      <w:iCs/>
      <w:color w:val="0000FF"/>
      <w:u w:val="single" w:color="0000FF"/>
      <w:lang w:val="it-IT"/>
    </w:rPr>
  </w:style>
  <w:style w:type="character" w:customStyle="1" w:styleId="Hyperlink2">
    <w:name w:val="Hyperlink.2"/>
    <w:basedOn w:val="NoneA"/>
    <w:rPr>
      <w:color w:val="162FD4"/>
      <w:u w:val="single" w:color="162FD4"/>
    </w:rPr>
  </w:style>
  <w:style w:type="character" w:customStyle="1" w:styleId="Hyperlink3">
    <w:name w:val="Hyperlink.3"/>
    <w:basedOn w:val="NoneA"/>
    <w:rPr>
      <w:color w:val="0000FF"/>
      <w:u w:val="single" w:color="0000FF"/>
    </w:rPr>
  </w:style>
  <w:style w:type="paragraph" w:customStyle="1" w:styleId="BodyEA">
    <w:name w:val="Body E A"/>
    <w:rPr>
      <w:rFonts w:cs="Arial Unicode MS"/>
      <w:color w:val="000000"/>
      <w:sz w:val="24"/>
      <w:szCs w:val="24"/>
      <w:u w:color="000000"/>
    </w:rPr>
  </w:style>
  <w:style w:type="character" w:customStyle="1" w:styleId="Hyperlink4">
    <w:name w:val="Hyperlink.4"/>
    <w:basedOn w:val="NoneA"/>
    <w:rPr>
      <w:rFonts w:ascii="Calibri" w:eastAsia="Calibri" w:hAnsi="Calibri" w:cs="Calibri"/>
      <w:color w:val="162FD4"/>
      <w:sz w:val="22"/>
      <w:szCs w:val="22"/>
      <w:u w:val="single" w:color="162FD4"/>
      <w:lang w:val="en-US"/>
    </w:rPr>
  </w:style>
  <w:style w:type="character" w:customStyle="1" w:styleId="Hyperlink5">
    <w:name w:val="Hyperlink.5"/>
    <w:basedOn w:val="NoneA"/>
    <w:rPr>
      <w:rFonts w:ascii="Calibri" w:eastAsia="Calibri" w:hAnsi="Calibri" w:cs="Calibri"/>
      <w:color w:val="0000FF"/>
      <w:sz w:val="22"/>
      <w:szCs w:val="22"/>
      <w:u w:val="single" w:color="0000FF"/>
      <w:lang w:val="en-US"/>
    </w:rPr>
  </w:style>
  <w:style w:type="character" w:customStyle="1" w:styleId="Hyperlink6">
    <w:name w:val="Hyperlink.6"/>
    <w:basedOn w:val="NoneA"/>
    <w:rPr>
      <w:rFonts w:ascii="Calibri" w:eastAsia="Calibri" w:hAnsi="Calibri" w:cs="Calibri"/>
      <w:color w:val="0000FF"/>
      <w:sz w:val="22"/>
      <w:szCs w:val="22"/>
      <w:u w:val="single" w:color="0000FF"/>
      <w:lang w:val="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07EE"/>
    <w:rPr>
      <w:sz w:val="18"/>
      <w:szCs w:val="18"/>
    </w:rPr>
  </w:style>
  <w:style w:type="character" w:customStyle="1" w:styleId="BalloonTextChar">
    <w:name w:val="Balloon Text Char"/>
    <w:basedOn w:val="DefaultParagraphFont"/>
    <w:link w:val="BalloonText"/>
    <w:uiPriority w:val="99"/>
    <w:semiHidden/>
    <w:rsid w:val="008A07EE"/>
    <w:rPr>
      <w:sz w:val="18"/>
      <w:szCs w:val="18"/>
    </w:rPr>
  </w:style>
  <w:style w:type="paragraph" w:styleId="Header">
    <w:name w:val="header"/>
    <w:basedOn w:val="Normal"/>
    <w:link w:val="HeaderChar"/>
    <w:uiPriority w:val="99"/>
    <w:unhideWhenUsed/>
    <w:rsid w:val="008A07EE"/>
    <w:pPr>
      <w:tabs>
        <w:tab w:val="center" w:pos="4680"/>
        <w:tab w:val="right" w:pos="9360"/>
      </w:tabs>
    </w:pPr>
  </w:style>
  <w:style w:type="character" w:customStyle="1" w:styleId="HeaderChar">
    <w:name w:val="Header Char"/>
    <w:basedOn w:val="DefaultParagraphFont"/>
    <w:link w:val="Header"/>
    <w:uiPriority w:val="99"/>
    <w:rsid w:val="008A07EE"/>
    <w:rPr>
      <w:sz w:val="24"/>
      <w:szCs w:val="24"/>
    </w:rPr>
  </w:style>
  <w:style w:type="paragraph" w:styleId="Footer">
    <w:name w:val="footer"/>
    <w:basedOn w:val="Normal"/>
    <w:link w:val="FooterChar"/>
    <w:uiPriority w:val="99"/>
    <w:unhideWhenUsed/>
    <w:rsid w:val="008A07EE"/>
    <w:pPr>
      <w:tabs>
        <w:tab w:val="center" w:pos="4680"/>
        <w:tab w:val="right" w:pos="9360"/>
      </w:tabs>
    </w:pPr>
  </w:style>
  <w:style w:type="character" w:customStyle="1" w:styleId="FooterChar">
    <w:name w:val="Footer Char"/>
    <w:basedOn w:val="DefaultParagraphFont"/>
    <w:link w:val="Footer"/>
    <w:uiPriority w:val="99"/>
    <w:rsid w:val="008A07EE"/>
    <w:rPr>
      <w:sz w:val="24"/>
      <w:szCs w:val="24"/>
    </w:rPr>
  </w:style>
  <w:style w:type="paragraph" w:styleId="CommentSubject">
    <w:name w:val="annotation subject"/>
    <w:basedOn w:val="CommentText"/>
    <w:next w:val="CommentText"/>
    <w:link w:val="CommentSubjectChar"/>
    <w:uiPriority w:val="99"/>
    <w:semiHidden/>
    <w:unhideWhenUsed/>
    <w:rsid w:val="00B36D18"/>
    <w:rPr>
      <w:b/>
      <w:bCs/>
    </w:rPr>
  </w:style>
  <w:style w:type="character" w:customStyle="1" w:styleId="CommentSubjectChar">
    <w:name w:val="Comment Subject Char"/>
    <w:basedOn w:val="CommentTextChar"/>
    <w:link w:val="CommentSubject"/>
    <w:uiPriority w:val="99"/>
    <w:semiHidden/>
    <w:rsid w:val="00B36D18"/>
    <w:rPr>
      <w:b/>
      <w:bCs/>
    </w:rPr>
  </w:style>
  <w:style w:type="paragraph" w:styleId="Revision">
    <w:name w:val="Revision"/>
    <w:hidden/>
    <w:uiPriority w:val="99"/>
    <w:semiHidden/>
    <w:rsid w:val="00A61B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F4735B"/>
    <w:rPr>
      <w:color w:val="605E5C"/>
      <w:shd w:val="clear" w:color="auto" w:fill="E1DFDD"/>
    </w:rPr>
  </w:style>
  <w:style w:type="character" w:styleId="UnresolvedMention">
    <w:name w:val="Unresolved Mention"/>
    <w:basedOn w:val="DefaultParagraphFont"/>
    <w:uiPriority w:val="99"/>
    <w:semiHidden/>
    <w:unhideWhenUsed/>
    <w:rsid w:val="00B251D1"/>
    <w:rPr>
      <w:color w:val="605E5C"/>
      <w:shd w:val="clear" w:color="auto" w:fill="E1DFDD"/>
    </w:rPr>
  </w:style>
  <w:style w:type="character" w:styleId="FollowedHyperlink">
    <w:name w:val="FollowedHyperlink"/>
    <w:basedOn w:val="DefaultParagraphFont"/>
    <w:uiPriority w:val="99"/>
    <w:semiHidden/>
    <w:unhideWhenUsed/>
    <w:rsid w:val="00E9309C"/>
    <w:rPr>
      <w:color w:val="FF00FF" w:themeColor="followedHyperlink"/>
      <w:u w:val="single"/>
    </w:rPr>
  </w:style>
  <w:style w:type="character" w:customStyle="1" w:styleId="Heading2Char">
    <w:name w:val="Heading 2 Char"/>
    <w:basedOn w:val="DefaultParagraphFont"/>
    <w:link w:val="Heading2"/>
    <w:uiPriority w:val="9"/>
    <w:rsid w:val="00F321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21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92825">
      <w:bodyDiv w:val="1"/>
      <w:marLeft w:val="0"/>
      <w:marRight w:val="0"/>
      <w:marTop w:val="0"/>
      <w:marBottom w:val="0"/>
      <w:divBdr>
        <w:top w:val="none" w:sz="0" w:space="0" w:color="auto"/>
        <w:left w:val="none" w:sz="0" w:space="0" w:color="auto"/>
        <w:bottom w:val="none" w:sz="0" w:space="0" w:color="auto"/>
        <w:right w:val="none" w:sz="0" w:space="0" w:color="auto"/>
      </w:divBdr>
    </w:div>
    <w:div w:id="577709766">
      <w:bodyDiv w:val="1"/>
      <w:marLeft w:val="0"/>
      <w:marRight w:val="0"/>
      <w:marTop w:val="0"/>
      <w:marBottom w:val="0"/>
      <w:divBdr>
        <w:top w:val="none" w:sz="0" w:space="0" w:color="auto"/>
        <w:left w:val="none" w:sz="0" w:space="0" w:color="auto"/>
        <w:bottom w:val="none" w:sz="0" w:space="0" w:color="auto"/>
        <w:right w:val="none" w:sz="0" w:space="0" w:color="auto"/>
      </w:divBdr>
    </w:div>
    <w:div w:id="684477041">
      <w:bodyDiv w:val="1"/>
      <w:marLeft w:val="0"/>
      <w:marRight w:val="0"/>
      <w:marTop w:val="0"/>
      <w:marBottom w:val="0"/>
      <w:divBdr>
        <w:top w:val="none" w:sz="0" w:space="0" w:color="auto"/>
        <w:left w:val="none" w:sz="0" w:space="0" w:color="auto"/>
        <w:bottom w:val="none" w:sz="0" w:space="0" w:color="auto"/>
        <w:right w:val="none" w:sz="0" w:space="0" w:color="auto"/>
      </w:divBdr>
    </w:div>
    <w:div w:id="926160197">
      <w:bodyDiv w:val="1"/>
      <w:marLeft w:val="0"/>
      <w:marRight w:val="0"/>
      <w:marTop w:val="0"/>
      <w:marBottom w:val="0"/>
      <w:divBdr>
        <w:top w:val="none" w:sz="0" w:space="0" w:color="auto"/>
        <w:left w:val="none" w:sz="0" w:space="0" w:color="auto"/>
        <w:bottom w:val="none" w:sz="0" w:space="0" w:color="auto"/>
        <w:right w:val="none" w:sz="0" w:space="0" w:color="auto"/>
      </w:divBdr>
    </w:div>
    <w:div w:id="953485852">
      <w:bodyDiv w:val="1"/>
      <w:marLeft w:val="0"/>
      <w:marRight w:val="0"/>
      <w:marTop w:val="0"/>
      <w:marBottom w:val="0"/>
      <w:divBdr>
        <w:top w:val="none" w:sz="0" w:space="0" w:color="auto"/>
        <w:left w:val="none" w:sz="0" w:space="0" w:color="auto"/>
        <w:bottom w:val="none" w:sz="0" w:space="0" w:color="auto"/>
        <w:right w:val="none" w:sz="0" w:space="0" w:color="auto"/>
      </w:divBdr>
    </w:div>
    <w:div w:id="1223178386">
      <w:bodyDiv w:val="1"/>
      <w:marLeft w:val="0"/>
      <w:marRight w:val="0"/>
      <w:marTop w:val="0"/>
      <w:marBottom w:val="0"/>
      <w:divBdr>
        <w:top w:val="none" w:sz="0" w:space="0" w:color="auto"/>
        <w:left w:val="none" w:sz="0" w:space="0" w:color="auto"/>
        <w:bottom w:val="none" w:sz="0" w:space="0" w:color="auto"/>
        <w:right w:val="none" w:sz="0" w:space="0" w:color="auto"/>
      </w:divBdr>
    </w:div>
    <w:div w:id="1246957577">
      <w:bodyDiv w:val="1"/>
      <w:marLeft w:val="0"/>
      <w:marRight w:val="0"/>
      <w:marTop w:val="0"/>
      <w:marBottom w:val="0"/>
      <w:divBdr>
        <w:top w:val="none" w:sz="0" w:space="0" w:color="auto"/>
        <w:left w:val="none" w:sz="0" w:space="0" w:color="auto"/>
        <w:bottom w:val="none" w:sz="0" w:space="0" w:color="auto"/>
        <w:right w:val="none" w:sz="0" w:space="0" w:color="auto"/>
      </w:divBdr>
    </w:div>
    <w:div w:id="1313295766">
      <w:bodyDiv w:val="1"/>
      <w:marLeft w:val="0"/>
      <w:marRight w:val="0"/>
      <w:marTop w:val="0"/>
      <w:marBottom w:val="0"/>
      <w:divBdr>
        <w:top w:val="none" w:sz="0" w:space="0" w:color="auto"/>
        <w:left w:val="none" w:sz="0" w:space="0" w:color="auto"/>
        <w:bottom w:val="none" w:sz="0" w:space="0" w:color="auto"/>
        <w:right w:val="none" w:sz="0" w:space="0" w:color="auto"/>
      </w:divBdr>
    </w:div>
    <w:div w:id="1554806367">
      <w:bodyDiv w:val="1"/>
      <w:marLeft w:val="0"/>
      <w:marRight w:val="0"/>
      <w:marTop w:val="0"/>
      <w:marBottom w:val="0"/>
      <w:divBdr>
        <w:top w:val="none" w:sz="0" w:space="0" w:color="auto"/>
        <w:left w:val="none" w:sz="0" w:space="0" w:color="auto"/>
        <w:bottom w:val="none" w:sz="0" w:space="0" w:color="auto"/>
        <w:right w:val="none" w:sz="0" w:space="0" w:color="auto"/>
      </w:divBdr>
    </w:div>
    <w:div w:id="1627152279">
      <w:bodyDiv w:val="1"/>
      <w:marLeft w:val="0"/>
      <w:marRight w:val="0"/>
      <w:marTop w:val="0"/>
      <w:marBottom w:val="0"/>
      <w:divBdr>
        <w:top w:val="none" w:sz="0" w:space="0" w:color="auto"/>
        <w:left w:val="none" w:sz="0" w:space="0" w:color="auto"/>
        <w:bottom w:val="none" w:sz="0" w:space="0" w:color="auto"/>
        <w:right w:val="none" w:sz="0" w:space="0" w:color="auto"/>
      </w:divBdr>
    </w:div>
    <w:div w:id="1654529267">
      <w:bodyDiv w:val="1"/>
      <w:marLeft w:val="0"/>
      <w:marRight w:val="0"/>
      <w:marTop w:val="0"/>
      <w:marBottom w:val="0"/>
      <w:divBdr>
        <w:top w:val="none" w:sz="0" w:space="0" w:color="auto"/>
        <w:left w:val="none" w:sz="0" w:space="0" w:color="auto"/>
        <w:bottom w:val="none" w:sz="0" w:space="0" w:color="auto"/>
        <w:right w:val="none" w:sz="0" w:space="0" w:color="auto"/>
      </w:divBdr>
    </w:div>
    <w:div w:id="1718822663">
      <w:bodyDiv w:val="1"/>
      <w:marLeft w:val="0"/>
      <w:marRight w:val="0"/>
      <w:marTop w:val="0"/>
      <w:marBottom w:val="0"/>
      <w:divBdr>
        <w:top w:val="none" w:sz="0" w:space="0" w:color="auto"/>
        <w:left w:val="none" w:sz="0" w:space="0" w:color="auto"/>
        <w:bottom w:val="none" w:sz="0" w:space="0" w:color="auto"/>
        <w:right w:val="none" w:sz="0" w:space="0" w:color="auto"/>
      </w:divBdr>
    </w:div>
    <w:div w:id="1836601979">
      <w:bodyDiv w:val="1"/>
      <w:marLeft w:val="0"/>
      <w:marRight w:val="0"/>
      <w:marTop w:val="0"/>
      <w:marBottom w:val="0"/>
      <w:divBdr>
        <w:top w:val="none" w:sz="0" w:space="0" w:color="auto"/>
        <w:left w:val="none" w:sz="0" w:space="0" w:color="auto"/>
        <w:bottom w:val="none" w:sz="0" w:space="0" w:color="auto"/>
        <w:right w:val="none" w:sz="0" w:space="0" w:color="auto"/>
      </w:divBdr>
    </w:div>
    <w:div w:id="2061051019">
      <w:bodyDiv w:val="1"/>
      <w:marLeft w:val="0"/>
      <w:marRight w:val="0"/>
      <w:marTop w:val="0"/>
      <w:marBottom w:val="0"/>
      <w:divBdr>
        <w:top w:val="none" w:sz="0" w:space="0" w:color="auto"/>
        <w:left w:val="none" w:sz="0" w:space="0" w:color="auto"/>
        <w:bottom w:val="none" w:sz="0" w:space="0" w:color="auto"/>
        <w:right w:val="none" w:sz="0" w:space="0" w:color="auto"/>
      </w:divBdr>
      <w:divsChild>
        <w:div w:id="764575308">
          <w:marLeft w:val="0"/>
          <w:marRight w:val="0"/>
          <w:marTop w:val="0"/>
          <w:marBottom w:val="0"/>
          <w:divBdr>
            <w:top w:val="none" w:sz="0" w:space="0" w:color="auto"/>
            <w:left w:val="none" w:sz="0" w:space="0" w:color="auto"/>
            <w:bottom w:val="none" w:sz="0" w:space="0" w:color="auto"/>
            <w:right w:val="none" w:sz="0" w:space="0" w:color="auto"/>
          </w:divBdr>
        </w:div>
        <w:div w:id="16760354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tpointmed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pointmedical.com/setpoint-medical-reports-positive-long-term-results-from-its-clinical-study-of-bioelectronic-medicine-to-treat-rheumatoid-arthritis/" TargetMode="External"/><Relationship Id="rId5" Type="http://schemas.openxmlformats.org/officeDocument/2006/relationships/webSettings" Target="webSettings.xml"/><Relationship Id="rId10" Type="http://schemas.openxmlformats.org/officeDocument/2006/relationships/hyperlink" Target="https://setpointmedical.com/breakthrough-first-in-human-study-shows-vagus-nerve-stimulation-significantly-reduces-rheumatoid-arthritis-symptoms-inhibits-cytokine-production/" TargetMode="External"/><Relationship Id="rId4" Type="http://schemas.openxmlformats.org/officeDocument/2006/relationships/settings" Target="settings.xml"/><Relationship Id="rId9" Type="http://schemas.openxmlformats.org/officeDocument/2006/relationships/hyperlink" Target="mailto:media@setpointmedic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D411-7AD8-FC41-87A2-DA865E08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Thomas</dc:creator>
  <cp:lastModifiedBy>Ankit Shah</cp:lastModifiedBy>
  <cp:revision>3</cp:revision>
  <dcterms:created xsi:type="dcterms:W3CDTF">2018-10-22T23:09:00Z</dcterms:created>
  <dcterms:modified xsi:type="dcterms:W3CDTF">2018-10-22T23:11:00Z</dcterms:modified>
</cp:coreProperties>
</file>